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B4" w:rsidRPr="002808B4" w:rsidRDefault="002808B4" w:rsidP="002808B4">
      <w:pPr>
        <w:jc w:val="center"/>
        <w:rPr>
          <w:rStyle w:val="secpgboxtext"/>
          <w:rFonts w:ascii="Iskoola Pota" w:hAnsi="Iskoola Pota" w:cs="Iskoola Pota"/>
          <w:b/>
          <w:sz w:val="22"/>
          <w:szCs w:val="22"/>
          <w:lang w:val="en"/>
        </w:rPr>
      </w:pPr>
      <w:r>
        <w:rPr>
          <w:rStyle w:val="secpgboxtext"/>
          <w:rFonts w:ascii="Iskoola Pota" w:hAnsi="Iskoola Pota" w:cs="Iskoola Pota"/>
          <w:b/>
          <w:sz w:val="22"/>
          <w:szCs w:val="22"/>
          <w:lang w:val="en"/>
        </w:rPr>
        <w:t>Learn! Grow! Eat! Go!</w:t>
      </w:r>
      <w:r w:rsidRPr="002808B4">
        <w:rPr>
          <w:rStyle w:val="secpgboxtext"/>
          <w:rFonts w:ascii="Iskoola Pota" w:hAnsi="Iskoola Pota" w:cs="Iskoola Pota"/>
          <w:b/>
          <w:sz w:val="22"/>
          <w:szCs w:val="22"/>
          <w:lang w:val="en"/>
        </w:rPr>
        <w:t xml:space="preserve"> Curriculum </w:t>
      </w:r>
    </w:p>
    <w:p w:rsidR="002808B4" w:rsidRPr="002808B4" w:rsidRDefault="002808B4" w:rsidP="002808B4">
      <w:pPr>
        <w:spacing w:line="276" w:lineRule="auto"/>
        <w:jc w:val="center"/>
        <w:rPr>
          <w:rStyle w:val="secpgboxtext"/>
          <w:rFonts w:ascii="Iskoola Pota" w:hAnsi="Iskoola Pota" w:cs="Iskoola Pota"/>
          <w:b/>
          <w:sz w:val="22"/>
          <w:szCs w:val="22"/>
          <w:lang w:val="en"/>
        </w:rPr>
      </w:pPr>
      <w:r w:rsidRPr="002808B4">
        <w:rPr>
          <w:rStyle w:val="secpgboxtext"/>
          <w:rFonts w:ascii="Iskoola Pota" w:hAnsi="Iskoola Pota" w:cs="Iskoola Pota"/>
          <w:b/>
          <w:sz w:val="22"/>
          <w:szCs w:val="22"/>
          <w:lang w:val="en"/>
        </w:rPr>
        <w:t>Correlation and Alignment to State Standards and Assessment Measures</w:t>
      </w:r>
    </w:p>
    <w:p w:rsidR="002808B4" w:rsidRPr="002808B4" w:rsidRDefault="002808B4" w:rsidP="002808B4">
      <w:pPr>
        <w:spacing w:line="276" w:lineRule="auto"/>
        <w:jc w:val="center"/>
        <w:rPr>
          <w:rStyle w:val="secpgboxtext"/>
          <w:rFonts w:ascii="Iskoola Pota" w:hAnsi="Iskoola Pota" w:cs="Iskoola Pota"/>
          <w:b/>
          <w:sz w:val="20"/>
          <w:lang w:val="en"/>
        </w:rPr>
      </w:pPr>
    </w:p>
    <w:p w:rsidR="002808B4" w:rsidRPr="002808B4" w:rsidRDefault="002808B4" w:rsidP="002808B4">
      <w:pPr>
        <w:spacing w:after="200"/>
        <w:rPr>
          <w:rFonts w:ascii="Iskoola Pota" w:eastAsia="Calibri" w:hAnsi="Iskoola Pota" w:cs="Iskoola Pota"/>
          <w:color w:val="000000"/>
          <w:sz w:val="22"/>
          <w:szCs w:val="22"/>
          <w:lang w:eastAsia="en-US"/>
        </w:rPr>
      </w:pPr>
      <w:r w:rsidRPr="002808B4">
        <w:rPr>
          <w:rFonts w:ascii="Iskoola Pota" w:eastAsia="Calibri" w:hAnsi="Iskoola Pota" w:cs="Iskoola Pota"/>
          <w:color w:val="000000"/>
          <w:sz w:val="22"/>
          <w:szCs w:val="22"/>
          <w:lang w:eastAsia="en-US"/>
        </w:rPr>
        <w:t>The Junior Master Gardener (JGM) Program is a youth gardening program operated internationally through the Cooperative Extension network. JMG is “Growing Good Kids” by igniting a passion for learning, success, and service. This unique gardening education inspires youths to serve others through leadership development and service learning projects and rewards them with certification and recognition.</w:t>
      </w:r>
    </w:p>
    <w:p w:rsidR="002808B4" w:rsidRPr="002808B4" w:rsidRDefault="002808B4" w:rsidP="002808B4">
      <w:pPr>
        <w:tabs>
          <w:tab w:val="left" w:pos="1170"/>
        </w:tabs>
        <w:spacing w:line="276" w:lineRule="auto"/>
        <w:rPr>
          <w:rStyle w:val="secpgboxtext"/>
          <w:rFonts w:ascii="Iskoola Pota" w:hAnsi="Iskoola Pota" w:cs="Iskoola Pota"/>
          <w:sz w:val="22"/>
          <w:szCs w:val="22"/>
          <w:lang w:val="en"/>
        </w:rPr>
      </w:pPr>
      <w:r w:rsidRPr="002808B4">
        <w:rPr>
          <w:rStyle w:val="secpgboxtext"/>
          <w:rFonts w:ascii="Iskoola Pota" w:hAnsi="Iskoola Pota" w:cs="Iskoola Pota"/>
          <w:sz w:val="22"/>
          <w:szCs w:val="22"/>
          <w:lang w:val="en"/>
        </w:rPr>
        <w:t xml:space="preserve">As a national and international youth gardening initiative, the Junior Master Gardener® (JMG) program provides strong support in the attainment of the necessary curricular skills to prepare students to succeed within the K-12 school environment, college, future careers and in the global market. </w:t>
      </w:r>
      <w:proofErr w:type="gramStart"/>
      <w:r w:rsidRPr="002808B4">
        <w:rPr>
          <w:rStyle w:val="secpgboxtext"/>
          <w:rFonts w:ascii="Iskoola Pota" w:hAnsi="Iskoola Pota" w:cs="Iskoola Pota"/>
          <w:sz w:val="22"/>
          <w:szCs w:val="22"/>
          <w:lang w:val="en"/>
        </w:rPr>
        <w:t xml:space="preserve">The </w:t>
      </w:r>
      <w:r w:rsidR="00617782">
        <w:rPr>
          <w:rStyle w:val="secpgboxtext"/>
          <w:rFonts w:ascii="Iskoola Pota" w:hAnsi="Iskoola Pota" w:cs="Iskoola Pota"/>
          <w:sz w:val="22"/>
          <w:szCs w:val="22"/>
          <w:lang w:val="en"/>
        </w:rPr>
        <w:t>Learn</w:t>
      </w:r>
      <w:proofErr w:type="gramEnd"/>
      <w:r w:rsidR="00617782">
        <w:rPr>
          <w:rStyle w:val="secpgboxtext"/>
          <w:rFonts w:ascii="Iskoola Pota" w:hAnsi="Iskoola Pota" w:cs="Iskoola Pota"/>
          <w:sz w:val="22"/>
          <w:szCs w:val="22"/>
          <w:lang w:val="en"/>
        </w:rPr>
        <w:t>!</w:t>
      </w:r>
      <w:r w:rsidRPr="002808B4">
        <w:rPr>
          <w:rStyle w:val="secpgboxtext"/>
          <w:rFonts w:ascii="Iskoola Pota" w:hAnsi="Iskoola Pota" w:cs="Iskoola Pota"/>
          <w:sz w:val="22"/>
          <w:szCs w:val="22"/>
          <w:lang w:val="en"/>
        </w:rPr>
        <w:t xml:space="preserve"> Grow! Eat! Go! </w:t>
      </w:r>
      <w:proofErr w:type="gramStart"/>
      <w:r w:rsidRPr="002808B4">
        <w:rPr>
          <w:rStyle w:val="secpgboxtext"/>
          <w:rFonts w:ascii="Iskoola Pota" w:hAnsi="Iskoola Pota" w:cs="Iskoola Pota"/>
          <w:sz w:val="22"/>
          <w:szCs w:val="22"/>
          <w:lang w:val="en"/>
        </w:rPr>
        <w:t>curriculum</w:t>
      </w:r>
      <w:proofErr w:type="gramEnd"/>
      <w:r w:rsidRPr="002808B4">
        <w:rPr>
          <w:rStyle w:val="secpgboxtext"/>
          <w:rFonts w:ascii="Iskoola Pota" w:hAnsi="Iskoola Pota" w:cs="Iskoola Pota"/>
          <w:sz w:val="22"/>
          <w:szCs w:val="22"/>
          <w:lang w:val="en"/>
        </w:rPr>
        <w:t xml:space="preserve"> was specifically created by teachers, horticulture and health care professionals for students and classrooms.  The curriculum’s </w:t>
      </w:r>
      <w:r w:rsidR="00617782">
        <w:rPr>
          <w:rStyle w:val="secpgboxtext"/>
          <w:rFonts w:ascii="Iskoola Pota" w:hAnsi="Iskoola Pota" w:cs="Iskoola Pota"/>
          <w:sz w:val="22"/>
          <w:szCs w:val="22"/>
          <w:lang w:val="en"/>
        </w:rPr>
        <w:t>ten</w:t>
      </w:r>
      <w:r w:rsidRPr="002808B4">
        <w:rPr>
          <w:rStyle w:val="secpgboxtext"/>
          <w:rFonts w:ascii="Iskoola Pota" w:hAnsi="Iskoola Pota" w:cs="Iskoola Pota"/>
          <w:sz w:val="22"/>
          <w:szCs w:val="22"/>
          <w:lang w:val="en"/>
        </w:rPr>
        <w:t xml:space="preserve"> (1</w:t>
      </w:r>
      <w:r w:rsidR="00617782">
        <w:rPr>
          <w:rStyle w:val="secpgboxtext"/>
          <w:rFonts w:ascii="Iskoola Pota" w:hAnsi="Iskoola Pota" w:cs="Iskoola Pota"/>
          <w:sz w:val="22"/>
          <w:szCs w:val="22"/>
          <w:lang w:val="en"/>
        </w:rPr>
        <w:t>0</w:t>
      </w:r>
      <w:r w:rsidRPr="002808B4">
        <w:rPr>
          <w:rStyle w:val="secpgboxtext"/>
          <w:rFonts w:ascii="Iskoola Pota" w:hAnsi="Iskoola Pota" w:cs="Iskoola Pota"/>
          <w:sz w:val="22"/>
          <w:szCs w:val="22"/>
          <w:lang w:val="en"/>
        </w:rPr>
        <w:t xml:space="preserve">) concepts of instruction are designed with a focus on skills delivered with depth and clarity. The curriculum emphasizes Science, Math, Language Arts/Reading, Writing, Social Studies, Physical Education, Health, Horticulture, and Nutrition all with a solid correlation to the </w:t>
      </w:r>
      <w:r w:rsidRPr="002808B4">
        <w:rPr>
          <w:rStyle w:val="secpgboxtext"/>
          <w:rFonts w:ascii="Iskoola Pota" w:hAnsi="Iskoola Pota" w:cs="Iskoola Pota"/>
          <w:b/>
          <w:sz w:val="22"/>
          <w:szCs w:val="22"/>
          <w:lang w:val="en"/>
        </w:rPr>
        <w:t>Texas Essential Knowledge and Skills (TEKS)</w:t>
      </w:r>
      <w:r w:rsidRPr="002808B4">
        <w:rPr>
          <w:rStyle w:val="secpgboxtext"/>
          <w:rFonts w:ascii="Iskoola Pota" w:hAnsi="Iskoola Pota" w:cs="Iskoola Pota"/>
          <w:sz w:val="22"/>
          <w:szCs w:val="22"/>
          <w:lang w:val="en"/>
        </w:rPr>
        <w:t xml:space="preserve"> standards. With a focus on TEKS alignment and the learning objectives most critical to assess, students are best prepared for the </w:t>
      </w:r>
      <w:r w:rsidRPr="002808B4">
        <w:rPr>
          <w:rStyle w:val="secpgboxtext"/>
          <w:rFonts w:ascii="Iskoola Pota" w:hAnsi="Iskoola Pota" w:cs="Iskoola Pota"/>
          <w:b/>
          <w:sz w:val="22"/>
          <w:szCs w:val="22"/>
          <w:lang w:val="en"/>
        </w:rPr>
        <w:t>State of Texas Assessments of Academic Readiness (STAAR)</w:t>
      </w:r>
      <w:r w:rsidRPr="002808B4">
        <w:rPr>
          <w:rStyle w:val="secpgboxtext"/>
          <w:rFonts w:ascii="Iskoola Pota" w:hAnsi="Iskoola Pota" w:cs="Iskoola Pota"/>
          <w:sz w:val="22"/>
          <w:szCs w:val="22"/>
          <w:lang w:val="en"/>
        </w:rPr>
        <w:t xml:space="preserve"> assessment that is administered each year in the state of Texas to students.  As the TEKS and STAAR correlation process was implemented, specific attention was given to the eligible content from the TEKS Readiness and Supporting Standards Assessment Blueprint in Third Grade Reading, Third Grade Math and Fifth Grade Science that are eligible for measurement on the STAAR test.</w:t>
      </w:r>
    </w:p>
    <w:p w:rsidR="002808B4" w:rsidRPr="002808B4" w:rsidRDefault="002808B4" w:rsidP="002808B4">
      <w:pPr>
        <w:rPr>
          <w:rStyle w:val="secpgboxtext"/>
          <w:rFonts w:ascii="Iskoola Pota" w:hAnsi="Iskoola Pota" w:cs="Iskoola Pota"/>
          <w:sz w:val="22"/>
          <w:szCs w:val="22"/>
          <w:lang w:val="en"/>
        </w:rPr>
      </w:pPr>
    </w:p>
    <w:p w:rsidR="002808B4" w:rsidRPr="002808B4" w:rsidRDefault="00181A83" w:rsidP="002808B4">
      <w:pPr>
        <w:spacing w:line="276" w:lineRule="auto"/>
        <w:rPr>
          <w:rStyle w:val="secpgboxtext"/>
          <w:rFonts w:ascii="Iskoola Pota" w:hAnsi="Iskoola Pota" w:cs="Iskoola Pota"/>
          <w:sz w:val="22"/>
          <w:szCs w:val="22"/>
          <w:lang w:val="en"/>
        </w:rPr>
      </w:pPr>
      <w:r>
        <w:rPr>
          <w:rStyle w:val="secpgboxtext"/>
          <w:rFonts w:ascii="Iskoola Pota" w:hAnsi="Iskoola Pota" w:cs="Iskoola Pota"/>
          <w:sz w:val="22"/>
          <w:szCs w:val="22"/>
          <w:lang w:val="en"/>
        </w:rPr>
        <w:t>JMG’s Learn! Grow! Eat! Go! curriculum</w:t>
      </w:r>
      <w:r w:rsidR="002808B4" w:rsidRPr="002808B4">
        <w:rPr>
          <w:rStyle w:val="secpgboxtext"/>
          <w:rFonts w:ascii="Iskoola Pota" w:hAnsi="Iskoola Pota" w:cs="Iskoola Pota"/>
          <w:sz w:val="22"/>
          <w:szCs w:val="22"/>
          <w:lang w:val="en"/>
        </w:rPr>
        <w:t>,</w:t>
      </w:r>
      <w:r w:rsidR="002808B4" w:rsidRPr="002808B4">
        <w:rPr>
          <w:rFonts w:ascii="Iskoola Pota" w:hAnsi="Iskoola Pota" w:cs="Iskoola Pota"/>
          <w:sz w:val="22"/>
          <w:szCs w:val="22"/>
          <w:lang w:val="en"/>
        </w:rPr>
        <w:t xml:space="preserve"> </w:t>
      </w:r>
      <w:r w:rsidR="002808B4" w:rsidRPr="002808B4">
        <w:rPr>
          <w:rStyle w:val="secpgboxtext"/>
          <w:rFonts w:ascii="Iskoola Pota" w:hAnsi="Iskoola Pota" w:cs="Iskoola Pota"/>
          <w:sz w:val="22"/>
          <w:szCs w:val="22"/>
          <w:lang w:val="en"/>
        </w:rPr>
        <w:t xml:space="preserve">as a </w:t>
      </w:r>
      <w:r w:rsidR="002808B4" w:rsidRPr="002808B4">
        <w:rPr>
          <w:rStyle w:val="secpgboxtext"/>
          <w:rFonts w:ascii="Iskoola Pota" w:hAnsi="Iskoola Pota" w:cs="Iskoola Pota"/>
          <w:b/>
          <w:i/>
          <w:sz w:val="22"/>
          <w:szCs w:val="22"/>
          <w:lang w:val="en"/>
        </w:rPr>
        <w:t>supplemental curriculum</w:t>
      </w:r>
      <w:r w:rsidR="002808B4" w:rsidRPr="002808B4">
        <w:rPr>
          <w:rStyle w:val="secpgboxtext"/>
          <w:rFonts w:ascii="Iskoola Pota" w:hAnsi="Iskoola Pota" w:cs="Iskoola Pota"/>
          <w:sz w:val="22"/>
          <w:szCs w:val="22"/>
          <w:lang w:val="en"/>
        </w:rPr>
        <w:t xml:space="preserve"> to a district’s existing curricula, offers the following to a school’s instructional program to best affect and improve learning outcomes:</w:t>
      </w:r>
    </w:p>
    <w:p w:rsidR="002808B4" w:rsidRPr="002808B4" w:rsidRDefault="002808B4" w:rsidP="002808B4">
      <w:pPr>
        <w:rPr>
          <w:rStyle w:val="secpgboxtext"/>
          <w:rFonts w:ascii="Iskoola Pota" w:hAnsi="Iskoola Pota" w:cs="Iskoola Pota"/>
          <w:sz w:val="22"/>
          <w:szCs w:val="22"/>
          <w:lang w:val="en"/>
        </w:rPr>
      </w:pPr>
    </w:p>
    <w:p w:rsidR="00701DD2" w:rsidRDefault="002808B4" w:rsidP="00701DD2">
      <w:pPr>
        <w:numPr>
          <w:ilvl w:val="0"/>
          <w:numId w:val="1"/>
        </w:numPr>
        <w:spacing w:line="276" w:lineRule="auto"/>
        <w:rPr>
          <w:rFonts w:ascii="Iskoola Pota" w:hAnsi="Iskoola Pota" w:cs="Iskoola Pota"/>
          <w:sz w:val="22"/>
          <w:szCs w:val="22"/>
        </w:rPr>
      </w:pPr>
      <w:r w:rsidRPr="002808B4">
        <w:rPr>
          <w:rFonts w:ascii="Iskoola Pota" w:hAnsi="Iskoola Pota" w:cs="Iskoola Pota"/>
          <w:sz w:val="22"/>
          <w:szCs w:val="22"/>
        </w:rPr>
        <w:t xml:space="preserve">JMG’s </w:t>
      </w:r>
      <w:r w:rsidR="00C71FA1" w:rsidRPr="00C71FA1">
        <w:rPr>
          <w:rFonts w:ascii="Iskoola Pota" w:hAnsi="Iskoola Pota" w:cs="Iskoola Pota"/>
          <w:b/>
          <w:sz w:val="22"/>
          <w:szCs w:val="22"/>
        </w:rPr>
        <w:t>Learn! Grow! Eat! Go!</w:t>
      </w:r>
      <w:r w:rsidR="00C71FA1">
        <w:rPr>
          <w:rFonts w:ascii="Iskoola Pota" w:hAnsi="Iskoola Pota" w:cs="Iskoola Pota"/>
          <w:sz w:val="22"/>
          <w:szCs w:val="22"/>
        </w:rPr>
        <w:t xml:space="preserve"> curriculum</w:t>
      </w:r>
      <w:r w:rsidRPr="002808B4">
        <w:rPr>
          <w:rFonts w:ascii="Iskoola Pota" w:hAnsi="Iskoola Pota" w:cs="Iskoola Pota"/>
          <w:sz w:val="22"/>
          <w:szCs w:val="22"/>
        </w:rPr>
        <w:t xml:space="preserve"> provides </w:t>
      </w:r>
      <w:r w:rsidR="001828EB">
        <w:rPr>
          <w:rFonts w:ascii="Iskoola Pota" w:hAnsi="Iskoola Pota" w:cs="Iskoola Pota"/>
          <w:sz w:val="22"/>
          <w:szCs w:val="22"/>
        </w:rPr>
        <w:t>10</w:t>
      </w:r>
      <w:r w:rsidRPr="002808B4">
        <w:rPr>
          <w:rFonts w:ascii="Iskoola Pota" w:hAnsi="Iskoola Pota" w:cs="Iskoola Pota"/>
          <w:sz w:val="22"/>
          <w:szCs w:val="22"/>
        </w:rPr>
        <w:t xml:space="preserve"> teaching concepts that are:</w:t>
      </w:r>
    </w:p>
    <w:p w:rsidR="00701DD2" w:rsidRDefault="002808B4" w:rsidP="00701DD2">
      <w:pPr>
        <w:numPr>
          <w:ilvl w:val="1"/>
          <w:numId w:val="1"/>
        </w:numPr>
        <w:spacing w:line="276" w:lineRule="auto"/>
        <w:rPr>
          <w:rFonts w:ascii="Iskoola Pota" w:hAnsi="Iskoola Pota" w:cs="Iskoola Pota"/>
          <w:sz w:val="22"/>
          <w:szCs w:val="22"/>
        </w:rPr>
      </w:pPr>
      <w:r w:rsidRPr="00701DD2">
        <w:rPr>
          <w:rFonts w:ascii="Iskoola Pota" w:hAnsi="Iskoola Pota" w:cs="Iskoola Pota"/>
          <w:sz w:val="22"/>
          <w:szCs w:val="22"/>
        </w:rPr>
        <w:t>aligned to the Texas Essential Knowledge and Skills (TEKS) standards - Science, Math, Language Arts/Reading, Social Studies, Physical Education and Health</w:t>
      </w:r>
    </w:p>
    <w:p w:rsidR="00701DD2" w:rsidRDefault="002808B4" w:rsidP="00701DD2">
      <w:pPr>
        <w:numPr>
          <w:ilvl w:val="1"/>
          <w:numId w:val="1"/>
        </w:numPr>
        <w:spacing w:line="276" w:lineRule="auto"/>
        <w:rPr>
          <w:rFonts w:ascii="Iskoola Pota" w:hAnsi="Iskoola Pota" w:cs="Iskoola Pota"/>
          <w:sz w:val="22"/>
          <w:szCs w:val="22"/>
        </w:rPr>
      </w:pPr>
      <w:r w:rsidRPr="00701DD2">
        <w:rPr>
          <w:rFonts w:ascii="Iskoola Pota" w:hAnsi="Iskoola Pota" w:cs="Iskoola Pota"/>
          <w:sz w:val="22"/>
          <w:szCs w:val="22"/>
        </w:rPr>
        <w:t>highly engaging</w:t>
      </w:r>
    </w:p>
    <w:p w:rsidR="00701DD2" w:rsidRDefault="002808B4" w:rsidP="00701DD2">
      <w:pPr>
        <w:numPr>
          <w:ilvl w:val="1"/>
          <w:numId w:val="1"/>
        </w:numPr>
        <w:spacing w:line="276" w:lineRule="auto"/>
        <w:rPr>
          <w:rFonts w:ascii="Iskoola Pota" w:hAnsi="Iskoola Pota" w:cs="Iskoola Pota"/>
          <w:sz w:val="22"/>
          <w:szCs w:val="22"/>
        </w:rPr>
      </w:pPr>
      <w:r w:rsidRPr="00701DD2">
        <w:rPr>
          <w:rFonts w:ascii="Iskoola Pota" w:hAnsi="Iskoola Pota" w:cs="Iskoola Pota"/>
          <w:sz w:val="22"/>
          <w:szCs w:val="22"/>
        </w:rPr>
        <w:t xml:space="preserve">clear in purpose </w:t>
      </w:r>
    </w:p>
    <w:p w:rsidR="00701DD2" w:rsidRDefault="002808B4" w:rsidP="00701DD2">
      <w:pPr>
        <w:numPr>
          <w:ilvl w:val="1"/>
          <w:numId w:val="1"/>
        </w:numPr>
        <w:spacing w:line="276" w:lineRule="auto"/>
        <w:rPr>
          <w:rFonts w:ascii="Iskoola Pota" w:hAnsi="Iskoola Pota" w:cs="Iskoola Pota"/>
          <w:sz w:val="22"/>
          <w:szCs w:val="22"/>
        </w:rPr>
      </w:pPr>
      <w:r w:rsidRPr="00701DD2">
        <w:rPr>
          <w:rFonts w:ascii="Iskoola Pota" w:hAnsi="Iskoola Pota" w:cs="Iskoola Pota"/>
          <w:sz w:val="22"/>
          <w:szCs w:val="22"/>
        </w:rPr>
        <w:t xml:space="preserve">in-depth, specific </w:t>
      </w:r>
    </w:p>
    <w:p w:rsidR="002808B4" w:rsidRPr="00701DD2" w:rsidRDefault="002808B4" w:rsidP="00701DD2">
      <w:pPr>
        <w:numPr>
          <w:ilvl w:val="1"/>
          <w:numId w:val="1"/>
        </w:numPr>
        <w:spacing w:line="276" w:lineRule="auto"/>
        <w:rPr>
          <w:rFonts w:ascii="Iskoola Pota" w:hAnsi="Iskoola Pota" w:cs="Iskoola Pota"/>
          <w:sz w:val="22"/>
          <w:szCs w:val="22"/>
        </w:rPr>
      </w:pPr>
      <w:r w:rsidRPr="00701DD2">
        <w:rPr>
          <w:rFonts w:ascii="Iskoola Pota" w:hAnsi="Iskoola Pota" w:cs="Iskoola Pota"/>
          <w:sz w:val="22"/>
          <w:szCs w:val="22"/>
        </w:rPr>
        <w:t xml:space="preserve">linked to grade level readiness and preparedness at current and future grade levels and support college and career readiness </w:t>
      </w:r>
    </w:p>
    <w:p w:rsidR="002808B4" w:rsidRPr="002808B4" w:rsidRDefault="002808B4" w:rsidP="002808B4">
      <w:pPr>
        <w:ind w:left="1440"/>
        <w:rPr>
          <w:rFonts w:ascii="Iskoola Pota" w:hAnsi="Iskoola Pota" w:cs="Iskoola Pota"/>
          <w:sz w:val="22"/>
          <w:szCs w:val="22"/>
        </w:rPr>
      </w:pPr>
    </w:p>
    <w:p w:rsidR="002808B4" w:rsidRPr="00701DD2" w:rsidRDefault="002808B4" w:rsidP="00701DD2">
      <w:pPr>
        <w:numPr>
          <w:ilvl w:val="0"/>
          <w:numId w:val="1"/>
        </w:numPr>
        <w:spacing w:line="276" w:lineRule="auto"/>
        <w:rPr>
          <w:rFonts w:ascii="Iskoola Pota" w:hAnsi="Iskoola Pota" w:cs="Iskoola Pota"/>
          <w:sz w:val="22"/>
          <w:szCs w:val="22"/>
        </w:rPr>
      </w:pPr>
      <w:r w:rsidRPr="002808B4">
        <w:rPr>
          <w:rFonts w:ascii="Iskoola Pota" w:hAnsi="Iskoola Pota" w:cs="Iskoola Pota"/>
          <w:sz w:val="22"/>
          <w:szCs w:val="22"/>
        </w:rPr>
        <w:t>JMG’s</w:t>
      </w:r>
      <w:r w:rsidR="00C71FA1">
        <w:rPr>
          <w:rFonts w:ascii="Iskoola Pota" w:hAnsi="Iskoola Pota" w:cs="Iskoola Pota"/>
          <w:sz w:val="22"/>
          <w:szCs w:val="22"/>
        </w:rPr>
        <w:t xml:space="preserve"> </w:t>
      </w:r>
      <w:r w:rsidR="00C71FA1" w:rsidRPr="00C71FA1">
        <w:rPr>
          <w:rFonts w:ascii="Iskoola Pota" w:hAnsi="Iskoola Pota" w:cs="Iskoola Pota"/>
          <w:b/>
          <w:sz w:val="22"/>
          <w:szCs w:val="22"/>
        </w:rPr>
        <w:t>Learn! Grow! Eat! Go!</w:t>
      </w:r>
      <w:r w:rsidRPr="002808B4">
        <w:rPr>
          <w:rFonts w:ascii="Iskoola Pota" w:hAnsi="Iskoola Pota" w:cs="Iskoola Pota"/>
          <w:sz w:val="22"/>
          <w:szCs w:val="22"/>
        </w:rPr>
        <w:t xml:space="preserve"> </w:t>
      </w:r>
      <w:r w:rsidR="00C71FA1">
        <w:rPr>
          <w:rFonts w:ascii="Iskoola Pota" w:hAnsi="Iskoola Pota" w:cs="Iskoola Pota"/>
          <w:sz w:val="22"/>
          <w:szCs w:val="22"/>
        </w:rPr>
        <w:t>c</w:t>
      </w:r>
      <w:r w:rsidR="00701DD2">
        <w:rPr>
          <w:rFonts w:ascii="Iskoola Pota" w:hAnsi="Iskoola Pota" w:cs="Iskoola Pota"/>
          <w:sz w:val="22"/>
          <w:szCs w:val="22"/>
        </w:rPr>
        <w:t>oncepts provide</w:t>
      </w:r>
      <w:r w:rsidRPr="00701DD2">
        <w:rPr>
          <w:rFonts w:ascii="Iskoola Pota" w:hAnsi="Iskoola Pota" w:cs="Iskoola Pota"/>
          <w:sz w:val="22"/>
          <w:szCs w:val="22"/>
        </w:rPr>
        <w:t xml:space="preserve">10 teaching concepts comprised of </w:t>
      </w:r>
      <w:r w:rsidR="00C71FA1" w:rsidRPr="00701DD2">
        <w:rPr>
          <w:rFonts w:ascii="Iskoola Pota" w:hAnsi="Iskoola Pota" w:cs="Iskoola Pota"/>
          <w:sz w:val="22"/>
          <w:szCs w:val="22"/>
        </w:rPr>
        <w:t>hands on learning activities</w:t>
      </w:r>
      <w:r w:rsidR="00701DD2">
        <w:rPr>
          <w:rFonts w:ascii="Iskoola Pota" w:hAnsi="Iskoola Pota" w:cs="Iskoola Pota"/>
          <w:sz w:val="22"/>
          <w:szCs w:val="22"/>
        </w:rPr>
        <w:t>:</w:t>
      </w:r>
    </w:p>
    <w:p w:rsidR="002808B4" w:rsidRPr="002808B4" w:rsidRDefault="002808B4" w:rsidP="00701DD2">
      <w:pPr>
        <w:numPr>
          <w:ilvl w:val="1"/>
          <w:numId w:val="1"/>
        </w:numPr>
        <w:spacing w:line="276" w:lineRule="auto"/>
        <w:rPr>
          <w:rFonts w:ascii="Iskoola Pota" w:hAnsi="Iskoola Pota" w:cs="Iskoola Pota"/>
          <w:sz w:val="22"/>
          <w:szCs w:val="22"/>
        </w:rPr>
      </w:pPr>
      <w:r w:rsidRPr="00701DD2">
        <w:rPr>
          <w:rFonts w:ascii="Iskoola Pota" w:hAnsi="Iskoola Pota" w:cs="Iskoola Pota"/>
          <w:b/>
          <w:color w:val="FF0000"/>
          <w:sz w:val="22"/>
          <w:szCs w:val="22"/>
        </w:rPr>
        <w:t xml:space="preserve">Total number </w:t>
      </w:r>
      <w:r w:rsidRPr="00701DD2">
        <w:rPr>
          <w:rFonts w:ascii="Iskoola Pota" w:hAnsi="Iskoola Pota" w:cs="Iskoola Pota"/>
          <w:sz w:val="22"/>
          <w:szCs w:val="22"/>
        </w:rPr>
        <w:t>of</w:t>
      </w:r>
      <w:r w:rsidRPr="00701DD2">
        <w:rPr>
          <w:rFonts w:ascii="Iskoola Pota" w:hAnsi="Iskoola Pota" w:cs="Iskoola Pota"/>
          <w:b/>
          <w:color w:val="FF0000"/>
          <w:sz w:val="22"/>
          <w:szCs w:val="22"/>
        </w:rPr>
        <w:t xml:space="preserve"> TEKS</w:t>
      </w:r>
      <w:r w:rsidRPr="002808B4">
        <w:rPr>
          <w:rFonts w:ascii="Iskoola Pota" w:hAnsi="Iskoola Pota" w:cs="Iskoola Pota"/>
          <w:sz w:val="22"/>
          <w:szCs w:val="22"/>
        </w:rPr>
        <w:t xml:space="preserve">:  </w:t>
      </w:r>
      <w:r w:rsidRPr="00701DD2">
        <w:rPr>
          <w:rFonts w:ascii="Iskoola Pota" w:hAnsi="Iskoola Pota" w:cs="Iskoola Pota"/>
          <w:b/>
          <w:sz w:val="22"/>
          <w:szCs w:val="22"/>
          <w:u w:val="single"/>
        </w:rPr>
        <w:t>102</w:t>
      </w:r>
    </w:p>
    <w:p w:rsidR="002808B4" w:rsidRPr="002808B4" w:rsidRDefault="002808B4" w:rsidP="00701DD2">
      <w:pPr>
        <w:numPr>
          <w:ilvl w:val="1"/>
          <w:numId w:val="1"/>
        </w:numPr>
        <w:spacing w:line="276" w:lineRule="auto"/>
        <w:rPr>
          <w:rFonts w:ascii="Iskoola Pota" w:hAnsi="Iskoola Pota" w:cs="Iskoola Pota"/>
          <w:sz w:val="22"/>
          <w:szCs w:val="22"/>
        </w:rPr>
      </w:pPr>
      <w:r w:rsidRPr="00701DD2">
        <w:rPr>
          <w:rFonts w:ascii="Iskoola Pota" w:hAnsi="Iskoola Pota" w:cs="Iskoola Pota"/>
          <w:b/>
          <w:color w:val="FF0000"/>
          <w:sz w:val="22"/>
          <w:szCs w:val="22"/>
        </w:rPr>
        <w:t xml:space="preserve">Total number </w:t>
      </w:r>
      <w:r w:rsidRPr="00701DD2">
        <w:rPr>
          <w:rFonts w:ascii="Iskoola Pota" w:hAnsi="Iskoola Pota" w:cs="Iskoola Pota"/>
          <w:sz w:val="22"/>
          <w:szCs w:val="22"/>
        </w:rPr>
        <w:t>of</w:t>
      </w:r>
      <w:r w:rsidRPr="00701DD2">
        <w:rPr>
          <w:rFonts w:ascii="Iskoola Pota" w:hAnsi="Iskoola Pota" w:cs="Iskoola Pota"/>
          <w:b/>
          <w:color w:val="FF0000"/>
          <w:sz w:val="22"/>
          <w:szCs w:val="22"/>
        </w:rPr>
        <w:t xml:space="preserve"> TEKS</w:t>
      </w:r>
      <w:r w:rsidRPr="00701DD2">
        <w:rPr>
          <w:rFonts w:ascii="Iskoola Pota" w:hAnsi="Iskoola Pota" w:cs="Iskoola Pota"/>
          <w:color w:val="FF0000"/>
          <w:sz w:val="22"/>
          <w:szCs w:val="22"/>
        </w:rPr>
        <w:t xml:space="preserve"> </w:t>
      </w:r>
      <w:r w:rsidRPr="001828EB">
        <w:rPr>
          <w:rFonts w:ascii="Iskoola Pota" w:hAnsi="Iskoola Pota" w:cs="Iskoola Pota"/>
          <w:b/>
          <w:color w:val="FF0000"/>
          <w:sz w:val="22"/>
          <w:szCs w:val="22"/>
        </w:rPr>
        <w:t>eligible</w:t>
      </w:r>
      <w:r w:rsidRPr="002808B4">
        <w:rPr>
          <w:rFonts w:ascii="Iskoola Pota" w:hAnsi="Iskoola Pota" w:cs="Iskoola Pota"/>
          <w:sz w:val="22"/>
          <w:szCs w:val="22"/>
        </w:rPr>
        <w:t xml:space="preserve"> for </w:t>
      </w:r>
      <w:r w:rsidRPr="001828EB">
        <w:rPr>
          <w:rFonts w:ascii="Iskoola Pota" w:hAnsi="Iskoola Pota" w:cs="Iskoola Pota"/>
          <w:b/>
          <w:color w:val="FF0000"/>
          <w:sz w:val="22"/>
          <w:szCs w:val="22"/>
        </w:rPr>
        <w:t>STAAR testing</w:t>
      </w:r>
      <w:r w:rsidR="00701DD2">
        <w:rPr>
          <w:rFonts w:ascii="Iskoola Pota" w:hAnsi="Iskoola Pota" w:cs="Iskoola Pota"/>
          <w:sz w:val="22"/>
          <w:szCs w:val="22"/>
        </w:rPr>
        <w:t>:</w:t>
      </w:r>
      <w:r>
        <w:rPr>
          <w:rFonts w:ascii="Iskoola Pota" w:hAnsi="Iskoola Pota" w:cs="Iskoola Pota"/>
          <w:sz w:val="22"/>
          <w:szCs w:val="22"/>
        </w:rPr>
        <w:t>34</w:t>
      </w:r>
      <w:r w:rsidRPr="002808B4">
        <w:rPr>
          <w:rFonts w:ascii="Iskoola Pota" w:hAnsi="Iskoola Pota" w:cs="Iskoola Pota"/>
          <w:sz w:val="22"/>
          <w:szCs w:val="22"/>
        </w:rPr>
        <w:t xml:space="preserve"> = </w:t>
      </w:r>
      <w:r w:rsidRPr="00701DD2">
        <w:rPr>
          <w:rFonts w:ascii="Iskoola Pota" w:hAnsi="Iskoola Pota" w:cs="Iskoola Pota"/>
          <w:b/>
          <w:sz w:val="22"/>
          <w:szCs w:val="22"/>
          <w:u w:val="single"/>
        </w:rPr>
        <w:t>33%</w:t>
      </w:r>
    </w:p>
    <w:p w:rsidR="002808B4" w:rsidRPr="00701DD2" w:rsidRDefault="002808B4" w:rsidP="00701DD2">
      <w:pPr>
        <w:numPr>
          <w:ilvl w:val="1"/>
          <w:numId w:val="1"/>
        </w:numPr>
        <w:spacing w:line="276" w:lineRule="auto"/>
        <w:rPr>
          <w:rFonts w:ascii="Iskoola Pota" w:hAnsi="Iskoola Pota" w:cs="Iskoola Pota"/>
          <w:sz w:val="22"/>
          <w:szCs w:val="22"/>
        </w:rPr>
      </w:pPr>
      <w:r w:rsidRPr="00701DD2">
        <w:rPr>
          <w:rFonts w:ascii="Iskoola Pota" w:hAnsi="Iskoola Pota" w:cs="Iskoola Pota"/>
          <w:b/>
          <w:color w:val="FF0000"/>
          <w:sz w:val="22"/>
          <w:szCs w:val="22"/>
        </w:rPr>
        <w:t xml:space="preserve">Total number </w:t>
      </w:r>
      <w:r w:rsidRPr="00701DD2">
        <w:rPr>
          <w:rFonts w:ascii="Iskoola Pota" w:hAnsi="Iskoola Pota" w:cs="Iskoola Pota"/>
          <w:sz w:val="22"/>
          <w:szCs w:val="22"/>
        </w:rPr>
        <w:t>of</w:t>
      </w:r>
      <w:r w:rsidRPr="00701DD2">
        <w:rPr>
          <w:rFonts w:ascii="Iskoola Pota" w:hAnsi="Iskoola Pota" w:cs="Iskoola Pota"/>
          <w:b/>
          <w:color w:val="FF0000"/>
          <w:sz w:val="22"/>
          <w:szCs w:val="22"/>
        </w:rPr>
        <w:t xml:space="preserve"> TEKS</w:t>
      </w:r>
      <w:r w:rsidRPr="00701DD2">
        <w:rPr>
          <w:rFonts w:ascii="Iskoola Pota" w:hAnsi="Iskoola Pota" w:cs="Iskoola Pota"/>
          <w:color w:val="FF0000"/>
          <w:sz w:val="22"/>
          <w:szCs w:val="22"/>
        </w:rPr>
        <w:t xml:space="preserve"> </w:t>
      </w:r>
      <w:r w:rsidRPr="0051471E">
        <w:rPr>
          <w:rFonts w:ascii="Iskoola Pota" w:hAnsi="Iskoola Pota" w:cs="Iskoola Pota"/>
          <w:b/>
          <w:color w:val="FF0000"/>
          <w:sz w:val="22"/>
          <w:szCs w:val="22"/>
        </w:rPr>
        <w:t>eligible</w:t>
      </w:r>
      <w:r w:rsidRPr="002808B4">
        <w:rPr>
          <w:rFonts w:ascii="Iskoola Pota" w:hAnsi="Iskoola Pota" w:cs="Iskoola Pota"/>
          <w:sz w:val="22"/>
          <w:szCs w:val="22"/>
        </w:rPr>
        <w:t xml:space="preserve"> for </w:t>
      </w:r>
      <w:r w:rsidRPr="00701DD2">
        <w:rPr>
          <w:rFonts w:ascii="Iskoola Pota" w:hAnsi="Iskoola Pota" w:cs="Iskoola Pota"/>
          <w:b/>
          <w:color w:val="FF0000"/>
          <w:sz w:val="22"/>
          <w:szCs w:val="22"/>
        </w:rPr>
        <w:t>STAAR testing</w:t>
      </w:r>
      <w:r w:rsidRPr="00701DD2">
        <w:rPr>
          <w:rFonts w:ascii="Iskoola Pota" w:hAnsi="Iskoola Pota" w:cs="Iskoola Pota"/>
          <w:color w:val="FF0000"/>
          <w:sz w:val="22"/>
          <w:szCs w:val="22"/>
        </w:rPr>
        <w:t xml:space="preserve"> </w:t>
      </w:r>
      <w:r w:rsidRPr="002808B4">
        <w:rPr>
          <w:rFonts w:ascii="Iskoola Pota" w:hAnsi="Iskoola Pota" w:cs="Iskoola Pota"/>
          <w:sz w:val="22"/>
          <w:szCs w:val="22"/>
        </w:rPr>
        <w:t xml:space="preserve">as </w:t>
      </w:r>
      <w:r w:rsidRPr="00701DD2">
        <w:rPr>
          <w:rFonts w:ascii="Iskoola Pota" w:hAnsi="Iskoola Pota" w:cs="Iskoola Pota"/>
          <w:b/>
          <w:color w:val="FF0000"/>
          <w:sz w:val="22"/>
          <w:szCs w:val="22"/>
        </w:rPr>
        <w:t>Readiness Standards</w:t>
      </w:r>
      <w:r w:rsidR="00701DD2">
        <w:rPr>
          <w:rFonts w:ascii="Iskoola Pota" w:hAnsi="Iskoola Pota" w:cs="Iskoola Pota"/>
          <w:sz w:val="22"/>
          <w:szCs w:val="22"/>
        </w:rPr>
        <w:t>:</w:t>
      </w:r>
      <w:r w:rsidRPr="00701DD2">
        <w:rPr>
          <w:rFonts w:ascii="Iskoola Pota" w:hAnsi="Iskoola Pota" w:cs="Iskoola Pota"/>
          <w:sz w:val="22"/>
          <w:szCs w:val="22"/>
        </w:rPr>
        <w:t xml:space="preserve">16 = </w:t>
      </w:r>
      <w:r w:rsidRPr="00701DD2">
        <w:rPr>
          <w:rFonts w:ascii="Iskoola Pota" w:hAnsi="Iskoola Pota" w:cs="Iskoola Pota"/>
          <w:b/>
          <w:sz w:val="22"/>
          <w:szCs w:val="22"/>
          <w:u w:val="single"/>
        </w:rPr>
        <w:t>47%</w:t>
      </w:r>
    </w:p>
    <w:p w:rsidR="002808B4" w:rsidRPr="002808B4" w:rsidRDefault="002808B4" w:rsidP="00701DD2">
      <w:pPr>
        <w:numPr>
          <w:ilvl w:val="1"/>
          <w:numId w:val="1"/>
        </w:numPr>
        <w:spacing w:line="276" w:lineRule="auto"/>
        <w:rPr>
          <w:rFonts w:ascii="Iskoola Pota" w:hAnsi="Iskoola Pota" w:cs="Iskoola Pota"/>
          <w:sz w:val="22"/>
          <w:szCs w:val="22"/>
        </w:rPr>
      </w:pPr>
      <w:r w:rsidRPr="00701DD2">
        <w:rPr>
          <w:rFonts w:ascii="Iskoola Pota" w:hAnsi="Iskoola Pota" w:cs="Iskoola Pota"/>
          <w:b/>
          <w:color w:val="FF0000"/>
          <w:sz w:val="22"/>
          <w:szCs w:val="22"/>
        </w:rPr>
        <w:t>Total number</w:t>
      </w:r>
      <w:r w:rsidRPr="00701DD2">
        <w:rPr>
          <w:rFonts w:ascii="Iskoola Pota" w:hAnsi="Iskoola Pota" w:cs="Iskoola Pota"/>
          <w:color w:val="FF0000"/>
          <w:sz w:val="22"/>
          <w:szCs w:val="22"/>
        </w:rPr>
        <w:t xml:space="preserve"> </w:t>
      </w:r>
      <w:r w:rsidRPr="002808B4">
        <w:rPr>
          <w:rFonts w:ascii="Iskoola Pota" w:hAnsi="Iskoola Pota" w:cs="Iskoola Pota"/>
          <w:sz w:val="22"/>
          <w:szCs w:val="22"/>
        </w:rPr>
        <w:t xml:space="preserve">of </w:t>
      </w:r>
      <w:r w:rsidRPr="00701DD2">
        <w:rPr>
          <w:rFonts w:ascii="Iskoola Pota" w:hAnsi="Iskoola Pota" w:cs="Iskoola Pota"/>
          <w:b/>
          <w:color w:val="FF0000"/>
          <w:sz w:val="22"/>
          <w:szCs w:val="22"/>
        </w:rPr>
        <w:t>TEKS</w:t>
      </w:r>
      <w:r w:rsidRPr="002808B4">
        <w:rPr>
          <w:rFonts w:ascii="Iskoola Pota" w:hAnsi="Iskoola Pota" w:cs="Iskoola Pota"/>
          <w:sz w:val="22"/>
          <w:szCs w:val="22"/>
        </w:rPr>
        <w:t xml:space="preserve"> </w:t>
      </w:r>
      <w:r w:rsidRPr="0051471E">
        <w:rPr>
          <w:rFonts w:ascii="Iskoola Pota" w:hAnsi="Iskoola Pota" w:cs="Iskoola Pota"/>
          <w:b/>
          <w:color w:val="FF0000"/>
          <w:sz w:val="22"/>
          <w:szCs w:val="22"/>
        </w:rPr>
        <w:t>eligible</w:t>
      </w:r>
      <w:r w:rsidRPr="002808B4">
        <w:rPr>
          <w:rFonts w:ascii="Iskoola Pota" w:hAnsi="Iskoola Pota" w:cs="Iskoola Pota"/>
          <w:sz w:val="22"/>
          <w:szCs w:val="22"/>
        </w:rPr>
        <w:t xml:space="preserve"> for </w:t>
      </w:r>
      <w:r w:rsidRPr="00701DD2">
        <w:rPr>
          <w:rFonts w:ascii="Iskoola Pota" w:hAnsi="Iskoola Pota" w:cs="Iskoola Pota"/>
          <w:b/>
          <w:color w:val="FF0000"/>
          <w:sz w:val="22"/>
          <w:szCs w:val="22"/>
        </w:rPr>
        <w:t>STAAR testing</w:t>
      </w:r>
      <w:r w:rsidRPr="00701DD2">
        <w:rPr>
          <w:rFonts w:ascii="Iskoola Pota" w:hAnsi="Iskoola Pota" w:cs="Iskoola Pota"/>
          <w:color w:val="FF0000"/>
          <w:sz w:val="22"/>
          <w:szCs w:val="22"/>
        </w:rPr>
        <w:t xml:space="preserve"> </w:t>
      </w:r>
      <w:r w:rsidRPr="002808B4">
        <w:rPr>
          <w:rFonts w:ascii="Iskoola Pota" w:hAnsi="Iskoola Pota" w:cs="Iskoola Pota"/>
          <w:sz w:val="22"/>
          <w:szCs w:val="22"/>
        </w:rPr>
        <w:t xml:space="preserve">as </w:t>
      </w:r>
      <w:r w:rsidRPr="001828EB">
        <w:rPr>
          <w:rFonts w:ascii="Iskoola Pota" w:hAnsi="Iskoola Pota" w:cs="Iskoola Pota"/>
          <w:b/>
          <w:color w:val="FF0000"/>
          <w:sz w:val="22"/>
          <w:szCs w:val="22"/>
        </w:rPr>
        <w:t>Supporting Standards</w:t>
      </w:r>
      <w:r w:rsidR="00701DD2">
        <w:rPr>
          <w:rFonts w:ascii="Iskoola Pota" w:hAnsi="Iskoola Pota" w:cs="Iskoola Pota"/>
          <w:b/>
          <w:color w:val="FF0000"/>
          <w:sz w:val="22"/>
          <w:szCs w:val="22"/>
        </w:rPr>
        <w:t>:</w:t>
      </w:r>
      <w:r>
        <w:rPr>
          <w:rFonts w:ascii="Iskoola Pota" w:hAnsi="Iskoola Pota" w:cs="Iskoola Pota"/>
          <w:sz w:val="22"/>
          <w:szCs w:val="22"/>
        </w:rPr>
        <w:t>18</w:t>
      </w:r>
      <w:r w:rsidR="00701DD2">
        <w:rPr>
          <w:rFonts w:ascii="Iskoola Pota" w:hAnsi="Iskoola Pota" w:cs="Iskoola Pota"/>
          <w:sz w:val="22"/>
          <w:szCs w:val="22"/>
        </w:rPr>
        <w:t xml:space="preserve"> =</w:t>
      </w:r>
      <w:r w:rsidRPr="00701DD2">
        <w:rPr>
          <w:rFonts w:ascii="Iskoola Pota" w:hAnsi="Iskoola Pota" w:cs="Iskoola Pota"/>
          <w:b/>
          <w:sz w:val="22"/>
          <w:szCs w:val="22"/>
          <w:u w:val="single"/>
        </w:rPr>
        <w:t>53%</w:t>
      </w:r>
    </w:p>
    <w:p w:rsidR="002808B4" w:rsidRDefault="002808B4">
      <w:pPr>
        <w:rPr>
          <w:rFonts w:ascii="Iskoola Pota" w:hAnsi="Iskoola Pota" w:cs="Iskoola Pota"/>
        </w:rPr>
      </w:pPr>
    </w:p>
    <w:p w:rsidR="00701DD2" w:rsidRDefault="00701DD2">
      <w:pPr>
        <w:rPr>
          <w:rFonts w:ascii="Iskoola Pota" w:hAnsi="Iskoola Pota" w:cs="Iskoola Pota"/>
        </w:rPr>
      </w:pPr>
      <w:bookmarkStart w:id="0" w:name="_GoBack"/>
      <w:bookmarkEnd w:id="0"/>
    </w:p>
    <w:p w:rsidR="00701DD2" w:rsidRDefault="00701DD2">
      <w:pPr>
        <w:rPr>
          <w:rFonts w:ascii="Iskoola Pota" w:hAnsi="Iskoola Pota" w:cs="Iskoola Pota"/>
        </w:rPr>
      </w:pPr>
    </w:p>
    <w:p w:rsidR="00701DD2" w:rsidRPr="002808B4" w:rsidRDefault="00701DD2">
      <w:pPr>
        <w:rPr>
          <w:rFonts w:ascii="Iskoola Pota" w:hAnsi="Iskoola Pota" w:cs="Iskoola Pota"/>
        </w:rPr>
      </w:pPr>
    </w:p>
    <w:p w:rsidR="000F6456" w:rsidRPr="000F6456" w:rsidRDefault="000F6456" w:rsidP="000F6456">
      <w:pPr>
        <w:spacing w:after="200"/>
        <w:rPr>
          <w:rFonts w:ascii="Iskoola Pota" w:eastAsia="Calibri" w:hAnsi="Iskoola Pota" w:cs="Iskoola Pota"/>
          <w:b/>
          <w:sz w:val="22"/>
          <w:szCs w:val="22"/>
          <w:u w:val="single"/>
          <w:lang w:eastAsia="en-US"/>
        </w:rPr>
      </w:pPr>
      <w:r w:rsidRPr="000F6456">
        <w:rPr>
          <w:rFonts w:ascii="Iskoola Pota" w:eastAsia="Calibri" w:hAnsi="Iskoola Pota" w:cs="Iskoola Pota"/>
          <w:b/>
          <w:sz w:val="22"/>
          <w:szCs w:val="22"/>
          <w:u w:val="single"/>
          <w:lang w:eastAsia="en-US"/>
        </w:rPr>
        <w:lastRenderedPageBreak/>
        <w:t>Benefits of the JMG Program</w:t>
      </w:r>
    </w:p>
    <w:p w:rsidR="000F6456" w:rsidRPr="000F6456" w:rsidRDefault="000F6456" w:rsidP="000F6456">
      <w:pPr>
        <w:numPr>
          <w:ilvl w:val="0"/>
          <w:numId w:val="3"/>
        </w:numPr>
        <w:spacing w:after="200" w:line="276" w:lineRule="auto"/>
        <w:contextualSpacing/>
        <w:rPr>
          <w:rFonts w:ascii="Iskoola Pota" w:eastAsia="Calibri" w:hAnsi="Iskoola Pota" w:cs="Iskoola Pota"/>
          <w:color w:val="000000"/>
          <w:sz w:val="22"/>
          <w:szCs w:val="22"/>
          <w:lang w:eastAsia="en-US"/>
        </w:rPr>
      </w:pPr>
      <w:r w:rsidRPr="000F6456">
        <w:rPr>
          <w:rFonts w:ascii="Iskoola Pota" w:eastAsia="Calibri" w:hAnsi="Iskoola Pota" w:cs="Iskoola Pota"/>
          <w:color w:val="000000"/>
          <w:sz w:val="22"/>
          <w:szCs w:val="22"/>
          <w:lang w:eastAsia="en-US"/>
        </w:rPr>
        <w:t>Over 85% of 442 teachers stated that JMG has increased youth interest and academic achievement in science.</w:t>
      </w:r>
    </w:p>
    <w:p w:rsidR="000F6456" w:rsidRPr="000F6456" w:rsidRDefault="000F6456" w:rsidP="000F6456">
      <w:pPr>
        <w:numPr>
          <w:ilvl w:val="0"/>
          <w:numId w:val="3"/>
        </w:numPr>
        <w:spacing w:after="200" w:line="276" w:lineRule="auto"/>
        <w:contextualSpacing/>
        <w:rPr>
          <w:rFonts w:ascii="Iskoola Pota" w:eastAsia="Calibri" w:hAnsi="Iskoola Pota" w:cs="Iskoola Pota"/>
          <w:color w:val="000000"/>
          <w:sz w:val="22"/>
          <w:szCs w:val="22"/>
          <w:lang w:eastAsia="en-US"/>
        </w:rPr>
      </w:pPr>
      <w:r w:rsidRPr="000F6456">
        <w:rPr>
          <w:rFonts w:ascii="Iskoola Pota" w:eastAsia="Calibri" w:hAnsi="Iskoola Pota" w:cs="Iskoola Pota"/>
          <w:color w:val="000000"/>
          <w:sz w:val="22"/>
          <w:szCs w:val="22"/>
          <w:lang w:eastAsia="en-US"/>
        </w:rPr>
        <w:t>Over 83% of respondents said youth were more enthusiastic about learning.</w:t>
      </w:r>
    </w:p>
    <w:p w:rsidR="000F6456" w:rsidRPr="000F6456" w:rsidRDefault="000F6456" w:rsidP="000F6456">
      <w:pPr>
        <w:numPr>
          <w:ilvl w:val="0"/>
          <w:numId w:val="3"/>
        </w:numPr>
        <w:spacing w:after="200" w:line="276" w:lineRule="auto"/>
        <w:contextualSpacing/>
        <w:rPr>
          <w:rFonts w:ascii="Iskoola Pota" w:eastAsia="Calibri" w:hAnsi="Iskoola Pota" w:cs="Iskoola Pota"/>
          <w:color w:val="000000"/>
          <w:sz w:val="22"/>
          <w:szCs w:val="22"/>
          <w:lang w:eastAsia="en-US"/>
        </w:rPr>
      </w:pPr>
      <w:r w:rsidRPr="000F6456">
        <w:rPr>
          <w:rFonts w:ascii="Iskoola Pota" w:eastAsia="Calibri" w:hAnsi="Iskoola Pota" w:cs="Iskoola Pota"/>
          <w:color w:val="000000"/>
          <w:sz w:val="22"/>
          <w:szCs w:val="22"/>
          <w:lang w:eastAsia="en-US"/>
        </w:rPr>
        <w:t>Over 85% of teacher/leaders plan to continue using the JMG program with youth.</w:t>
      </w:r>
    </w:p>
    <w:p w:rsidR="000F6456" w:rsidRPr="000F6456" w:rsidRDefault="000F6456" w:rsidP="000F6456">
      <w:pPr>
        <w:numPr>
          <w:ilvl w:val="0"/>
          <w:numId w:val="3"/>
        </w:numPr>
        <w:spacing w:after="200" w:line="276" w:lineRule="auto"/>
        <w:contextualSpacing/>
        <w:rPr>
          <w:rFonts w:ascii="Iskoola Pota" w:eastAsia="Calibri" w:hAnsi="Iskoola Pota" w:cs="Iskoola Pota"/>
          <w:color w:val="000000"/>
          <w:sz w:val="22"/>
          <w:szCs w:val="22"/>
          <w:lang w:eastAsia="en-US"/>
        </w:rPr>
      </w:pPr>
      <w:r w:rsidRPr="000F6456">
        <w:rPr>
          <w:rFonts w:ascii="Iskoola Pota" w:eastAsia="Calibri" w:hAnsi="Iskoola Pota" w:cs="Iskoola Pota"/>
          <w:color w:val="000000"/>
          <w:sz w:val="22"/>
          <w:szCs w:val="22"/>
          <w:lang w:eastAsia="en-US"/>
        </w:rPr>
        <w:t>Over 69% of teachers and leaders said that JMG has encouraged students to perform community service projects outside the classroom.</w:t>
      </w:r>
    </w:p>
    <w:p w:rsidR="000F6456" w:rsidRPr="000F6456" w:rsidRDefault="000F6456" w:rsidP="000F6456">
      <w:pPr>
        <w:numPr>
          <w:ilvl w:val="0"/>
          <w:numId w:val="3"/>
        </w:numPr>
        <w:spacing w:after="200" w:line="276" w:lineRule="auto"/>
        <w:contextualSpacing/>
        <w:rPr>
          <w:rFonts w:ascii="Iskoola Pota" w:eastAsia="Calibri" w:hAnsi="Iskoola Pota" w:cs="Iskoola Pota"/>
          <w:color w:val="000000"/>
          <w:sz w:val="22"/>
          <w:szCs w:val="22"/>
          <w:lang w:eastAsia="en-US"/>
        </w:rPr>
      </w:pPr>
      <w:r w:rsidRPr="000F6456">
        <w:rPr>
          <w:rFonts w:ascii="Iskoola Pota" w:eastAsia="Calibri" w:hAnsi="Iskoola Pota" w:cs="Iskoola Pota"/>
          <w:color w:val="000000"/>
          <w:sz w:val="22"/>
          <w:szCs w:val="22"/>
          <w:lang w:eastAsia="en-US"/>
        </w:rPr>
        <w:t>Over 63% said youth tried new fruits and vegetables.</w:t>
      </w:r>
    </w:p>
    <w:p w:rsidR="000F6456" w:rsidRPr="000F6456" w:rsidRDefault="000F6456" w:rsidP="000F6456">
      <w:pPr>
        <w:spacing w:after="200" w:line="276" w:lineRule="auto"/>
        <w:ind w:left="720"/>
        <w:contextualSpacing/>
        <w:rPr>
          <w:rFonts w:ascii="Iskoola Pota" w:eastAsia="Calibri" w:hAnsi="Iskoola Pota" w:cs="Iskoola Pota"/>
          <w:color w:val="000000"/>
          <w:sz w:val="22"/>
          <w:szCs w:val="22"/>
          <w:lang w:eastAsia="en-US"/>
        </w:rPr>
      </w:pPr>
    </w:p>
    <w:p w:rsidR="000F6456" w:rsidRPr="000F6456" w:rsidRDefault="000F6456" w:rsidP="000F6456">
      <w:pPr>
        <w:spacing w:after="200"/>
        <w:ind w:left="360"/>
        <w:contextualSpacing/>
        <w:rPr>
          <w:rFonts w:ascii="Iskoola Pota" w:eastAsia="Calibri" w:hAnsi="Iskoola Pota" w:cs="Iskoola Pota"/>
          <w:i/>
          <w:color w:val="000000"/>
          <w:sz w:val="22"/>
          <w:szCs w:val="22"/>
          <w:lang w:eastAsia="en-US"/>
        </w:rPr>
      </w:pPr>
      <w:r w:rsidRPr="000F6456">
        <w:rPr>
          <w:rFonts w:ascii="Iskoola Pota" w:eastAsia="Calibri" w:hAnsi="Iskoola Pota" w:cs="Iskoola Pota"/>
          <w:color w:val="000000"/>
          <w:sz w:val="22"/>
          <w:szCs w:val="22"/>
          <w:lang w:eastAsia="en-US"/>
        </w:rPr>
        <w:t>*</w:t>
      </w:r>
      <w:r w:rsidRPr="000F6456">
        <w:rPr>
          <w:rFonts w:ascii="Iskoola Pota" w:eastAsia="Calibri" w:hAnsi="Iskoola Pota" w:cs="Iskoola Pota"/>
          <w:i/>
          <w:color w:val="000000"/>
          <w:sz w:val="22"/>
          <w:szCs w:val="22"/>
          <w:lang w:eastAsia="en-US"/>
        </w:rPr>
        <w:t>Research conducted by Boleman and Cummings, 2002.</w:t>
      </w:r>
    </w:p>
    <w:p w:rsidR="000F6456" w:rsidRPr="000F6456" w:rsidRDefault="000F6456" w:rsidP="000F6456">
      <w:pPr>
        <w:spacing w:after="200"/>
        <w:ind w:left="360"/>
        <w:contextualSpacing/>
        <w:rPr>
          <w:rFonts w:ascii="Iskoola Pota" w:eastAsia="Calibri" w:hAnsi="Iskoola Pota" w:cs="Iskoola Pota"/>
          <w:i/>
          <w:color w:val="000000"/>
          <w:sz w:val="22"/>
          <w:szCs w:val="22"/>
          <w:lang w:eastAsia="en-US"/>
        </w:rPr>
      </w:pPr>
    </w:p>
    <w:p w:rsidR="000F6456" w:rsidRPr="000F6456" w:rsidRDefault="000F6456" w:rsidP="000F6456">
      <w:pPr>
        <w:spacing w:after="200"/>
        <w:contextualSpacing/>
        <w:rPr>
          <w:rFonts w:ascii="Iskoola Pota" w:eastAsia="Calibri" w:hAnsi="Iskoola Pota" w:cs="Iskoola Pota"/>
          <w:b/>
          <w:color w:val="000000"/>
          <w:sz w:val="22"/>
          <w:szCs w:val="22"/>
          <w:u w:val="single"/>
          <w:lang w:eastAsia="en-US"/>
        </w:rPr>
      </w:pPr>
      <w:r w:rsidRPr="000F6456">
        <w:rPr>
          <w:rFonts w:ascii="Iskoola Pota" w:eastAsia="Calibri" w:hAnsi="Iskoola Pota" w:cs="Iskoola Pota"/>
          <w:b/>
          <w:color w:val="000000"/>
          <w:sz w:val="22"/>
          <w:szCs w:val="22"/>
          <w:u w:val="single"/>
          <w:lang w:eastAsia="en-US"/>
        </w:rPr>
        <w:t>JMG Program Numbers</w:t>
      </w:r>
    </w:p>
    <w:p w:rsidR="000F6456" w:rsidRPr="000F6456" w:rsidRDefault="000F6456" w:rsidP="000F6456">
      <w:pPr>
        <w:numPr>
          <w:ilvl w:val="0"/>
          <w:numId w:val="3"/>
        </w:numPr>
        <w:spacing w:after="200" w:line="276" w:lineRule="auto"/>
        <w:contextualSpacing/>
        <w:rPr>
          <w:rFonts w:ascii="Iskoola Pota" w:eastAsia="Calibri" w:hAnsi="Iskoola Pota" w:cs="Iskoola Pota"/>
          <w:color w:val="000000"/>
          <w:sz w:val="22"/>
          <w:szCs w:val="22"/>
          <w:lang w:eastAsia="en-US"/>
        </w:rPr>
      </w:pPr>
      <w:r w:rsidRPr="000F6456">
        <w:rPr>
          <w:rFonts w:ascii="Iskoola Pota" w:eastAsia="Calibri" w:hAnsi="Iskoola Pota" w:cs="Iskoola Pota"/>
          <w:color w:val="000000"/>
          <w:sz w:val="22"/>
          <w:szCs w:val="22"/>
          <w:lang w:eastAsia="en-US"/>
        </w:rPr>
        <w:t xml:space="preserve">50 states, plus the District of Columbia have implemented  JMG </w:t>
      </w:r>
    </w:p>
    <w:p w:rsidR="000F6456" w:rsidRPr="000F6456" w:rsidRDefault="000F6456" w:rsidP="000F6456">
      <w:pPr>
        <w:numPr>
          <w:ilvl w:val="0"/>
          <w:numId w:val="3"/>
        </w:numPr>
        <w:spacing w:after="200" w:line="276" w:lineRule="auto"/>
        <w:contextualSpacing/>
        <w:rPr>
          <w:rFonts w:ascii="Iskoola Pota" w:eastAsia="Calibri" w:hAnsi="Iskoola Pota" w:cs="Iskoola Pota"/>
          <w:color w:val="000000"/>
          <w:sz w:val="22"/>
          <w:szCs w:val="22"/>
          <w:lang w:eastAsia="en-US"/>
        </w:rPr>
      </w:pPr>
      <w:r w:rsidRPr="000F6456">
        <w:rPr>
          <w:rFonts w:ascii="Iskoola Pota" w:eastAsia="Calibri" w:hAnsi="Iskoola Pota" w:cs="Iskoola Pota"/>
          <w:color w:val="000000"/>
          <w:sz w:val="22"/>
          <w:szCs w:val="22"/>
          <w:lang w:eastAsia="en-US"/>
        </w:rPr>
        <w:t>38 Land Grant University Partners</w:t>
      </w:r>
    </w:p>
    <w:p w:rsidR="000F6456" w:rsidRPr="000F6456" w:rsidRDefault="000F6456" w:rsidP="000F6456">
      <w:pPr>
        <w:numPr>
          <w:ilvl w:val="0"/>
          <w:numId w:val="3"/>
        </w:numPr>
        <w:spacing w:after="200" w:line="276" w:lineRule="auto"/>
        <w:contextualSpacing/>
        <w:rPr>
          <w:rFonts w:ascii="Iskoola Pota" w:eastAsia="Calibri" w:hAnsi="Iskoola Pota" w:cs="Iskoola Pota"/>
          <w:color w:val="000000"/>
          <w:sz w:val="22"/>
          <w:szCs w:val="22"/>
          <w:lang w:eastAsia="en-US"/>
        </w:rPr>
      </w:pPr>
      <w:r w:rsidRPr="000F6456">
        <w:rPr>
          <w:rFonts w:ascii="Iskoola Pota" w:eastAsia="Calibri" w:hAnsi="Iskoola Pota" w:cs="Iskoola Pota"/>
          <w:color w:val="000000"/>
          <w:sz w:val="22"/>
          <w:szCs w:val="22"/>
          <w:lang w:eastAsia="en-US"/>
        </w:rPr>
        <w:t xml:space="preserve">1 Million </w:t>
      </w:r>
      <w:proofErr w:type="gramStart"/>
      <w:r w:rsidRPr="000F6456">
        <w:rPr>
          <w:rFonts w:ascii="Iskoola Pota" w:eastAsia="Calibri" w:hAnsi="Iskoola Pota" w:cs="Iskoola Pota"/>
          <w:color w:val="000000"/>
          <w:sz w:val="22"/>
          <w:szCs w:val="22"/>
          <w:lang w:eastAsia="en-US"/>
        </w:rPr>
        <w:t>youths  participate</w:t>
      </w:r>
      <w:proofErr w:type="gramEnd"/>
      <w:r w:rsidRPr="000F6456">
        <w:rPr>
          <w:rFonts w:ascii="Iskoola Pota" w:eastAsia="Calibri" w:hAnsi="Iskoola Pota" w:cs="Iskoola Pota"/>
          <w:color w:val="000000"/>
          <w:sz w:val="22"/>
          <w:szCs w:val="22"/>
          <w:lang w:eastAsia="en-US"/>
        </w:rPr>
        <w:t xml:space="preserve"> each year in America. </w:t>
      </w:r>
    </w:p>
    <w:p w:rsidR="000F6456" w:rsidRPr="000F6456" w:rsidRDefault="000F6456" w:rsidP="000F6456">
      <w:pPr>
        <w:numPr>
          <w:ilvl w:val="0"/>
          <w:numId w:val="3"/>
        </w:numPr>
        <w:spacing w:after="200" w:line="276" w:lineRule="auto"/>
        <w:contextualSpacing/>
        <w:rPr>
          <w:rFonts w:ascii="Iskoola Pota" w:eastAsia="Calibri" w:hAnsi="Iskoola Pota" w:cs="Iskoola Pota"/>
          <w:color w:val="000000"/>
          <w:sz w:val="22"/>
          <w:szCs w:val="22"/>
          <w:lang w:eastAsia="en-US"/>
        </w:rPr>
      </w:pPr>
      <w:r w:rsidRPr="000F6456">
        <w:rPr>
          <w:rFonts w:ascii="Iskoola Pota" w:eastAsia="Calibri" w:hAnsi="Iskoola Pota" w:cs="Iskoola Pota"/>
          <w:color w:val="000000"/>
          <w:sz w:val="22"/>
          <w:szCs w:val="22"/>
          <w:lang w:eastAsia="en-US"/>
        </w:rPr>
        <w:t>Programs in 10 foreign counties</w:t>
      </w:r>
    </w:p>
    <w:p w:rsidR="000F6456" w:rsidRPr="000F6456" w:rsidRDefault="000F6456" w:rsidP="000F6456">
      <w:pPr>
        <w:rPr>
          <w:rFonts w:ascii="Iskoola Pota" w:hAnsi="Iskoola Pota" w:cs="Iskoola Pota"/>
          <w:sz w:val="22"/>
          <w:szCs w:val="22"/>
        </w:rPr>
      </w:pPr>
    </w:p>
    <w:p w:rsidR="000F6456" w:rsidRPr="000F6456" w:rsidRDefault="000F6456" w:rsidP="000F6456">
      <w:pPr>
        <w:rPr>
          <w:rFonts w:ascii="Iskoola Pota" w:hAnsi="Iskoola Pota" w:cs="Iskoola Pota"/>
          <w:sz w:val="22"/>
          <w:szCs w:val="22"/>
        </w:rPr>
      </w:pPr>
    </w:p>
    <w:p w:rsidR="000F6456" w:rsidRPr="000F6456" w:rsidRDefault="000F6456" w:rsidP="000F6456">
      <w:pPr>
        <w:spacing w:after="200"/>
        <w:rPr>
          <w:rFonts w:ascii="Iskoola Pota" w:eastAsia="Calibri" w:hAnsi="Iskoola Pota" w:cs="Iskoola Pota"/>
          <w:b/>
          <w:i/>
          <w:color w:val="000000"/>
          <w:sz w:val="22"/>
          <w:szCs w:val="22"/>
          <w:lang w:eastAsia="en-US"/>
        </w:rPr>
      </w:pPr>
      <w:r w:rsidRPr="000F6456">
        <w:rPr>
          <w:rFonts w:ascii="Iskoola Pota" w:eastAsia="Calibri" w:hAnsi="Iskoola Pota" w:cs="Iskoola Pota"/>
          <w:b/>
          <w:i/>
          <w:color w:val="000000"/>
          <w:sz w:val="22"/>
          <w:szCs w:val="22"/>
          <w:lang w:eastAsia="en-US"/>
        </w:rPr>
        <w:t>“Students participating in JMG as part of their school science curriculum scored higher on science achievement tests compared to students using traditional classroom methods. Moreover, the JMG curriculum was more effective as a teaching method in raising science achievement scores for boys in third and fifth grades and for girls in the fifth grade compared to traditional classroom-based methods alone.</w:t>
      </w:r>
    </w:p>
    <w:p w:rsidR="000F6456" w:rsidRPr="000F6456" w:rsidRDefault="000F6456" w:rsidP="000F6456">
      <w:pPr>
        <w:spacing w:after="200"/>
        <w:rPr>
          <w:rFonts w:ascii="Iskoola Pota" w:eastAsia="Calibri" w:hAnsi="Iskoola Pota" w:cs="Iskoola Pota"/>
          <w:i/>
          <w:color w:val="000000"/>
          <w:sz w:val="22"/>
          <w:szCs w:val="22"/>
          <w:lang w:eastAsia="en-US"/>
        </w:rPr>
      </w:pPr>
      <w:proofErr w:type="spellStart"/>
      <w:proofErr w:type="gramStart"/>
      <w:r w:rsidRPr="000F6456">
        <w:rPr>
          <w:rFonts w:ascii="Iskoola Pota" w:eastAsia="Calibri" w:hAnsi="Iskoola Pota" w:cs="Iskoola Pota"/>
          <w:i/>
          <w:color w:val="000000"/>
          <w:sz w:val="22"/>
          <w:szCs w:val="22"/>
          <w:lang w:eastAsia="en-US"/>
        </w:rPr>
        <w:t>Klemmer</w:t>
      </w:r>
      <w:proofErr w:type="spellEnd"/>
      <w:r w:rsidRPr="000F6456">
        <w:rPr>
          <w:rFonts w:ascii="Iskoola Pota" w:eastAsia="Calibri" w:hAnsi="Iskoola Pota" w:cs="Iskoola Pota"/>
          <w:i/>
          <w:color w:val="000000"/>
          <w:sz w:val="22"/>
          <w:szCs w:val="22"/>
          <w:lang w:eastAsia="en-US"/>
        </w:rPr>
        <w:t xml:space="preserve">, C.T. </w:t>
      </w:r>
      <w:proofErr w:type="spellStart"/>
      <w:r w:rsidRPr="000F6456">
        <w:rPr>
          <w:rFonts w:ascii="Iskoola Pota" w:eastAsia="Calibri" w:hAnsi="Iskoola Pota" w:cs="Iskoola Pota"/>
          <w:i/>
          <w:color w:val="000000"/>
          <w:sz w:val="22"/>
          <w:szCs w:val="22"/>
          <w:lang w:eastAsia="en-US"/>
        </w:rPr>
        <w:t>Waliczek</w:t>
      </w:r>
      <w:proofErr w:type="spellEnd"/>
      <w:r w:rsidRPr="000F6456">
        <w:rPr>
          <w:rFonts w:ascii="Iskoola Pota" w:eastAsia="Calibri" w:hAnsi="Iskoola Pota" w:cs="Iskoola Pota"/>
          <w:i/>
          <w:color w:val="000000"/>
          <w:sz w:val="22"/>
          <w:szCs w:val="22"/>
          <w:lang w:eastAsia="en-US"/>
        </w:rPr>
        <w:t xml:space="preserve"> and </w:t>
      </w:r>
      <w:proofErr w:type="spellStart"/>
      <w:r w:rsidRPr="000F6456">
        <w:rPr>
          <w:rFonts w:ascii="Iskoola Pota" w:eastAsia="Calibri" w:hAnsi="Iskoola Pota" w:cs="Iskoola Pota"/>
          <w:i/>
          <w:color w:val="000000"/>
          <w:sz w:val="22"/>
          <w:szCs w:val="22"/>
          <w:lang w:eastAsia="en-US"/>
        </w:rPr>
        <w:t>J.Zajicek</w:t>
      </w:r>
      <w:proofErr w:type="spellEnd"/>
      <w:r w:rsidRPr="000F6456">
        <w:rPr>
          <w:rFonts w:ascii="Iskoola Pota" w:eastAsia="Calibri" w:hAnsi="Iskoola Pota" w:cs="Iskoola Pota"/>
          <w:i/>
          <w:color w:val="000000"/>
          <w:sz w:val="22"/>
          <w:szCs w:val="22"/>
          <w:lang w:eastAsia="en-US"/>
        </w:rPr>
        <w:t>.</w:t>
      </w:r>
      <w:proofErr w:type="gramEnd"/>
      <w:r w:rsidRPr="000F6456">
        <w:rPr>
          <w:rFonts w:ascii="Iskoola Pota" w:eastAsia="Calibri" w:hAnsi="Iskoola Pota" w:cs="Iskoola Pota"/>
          <w:i/>
          <w:color w:val="000000"/>
          <w:sz w:val="22"/>
          <w:szCs w:val="22"/>
          <w:lang w:eastAsia="en-US"/>
        </w:rPr>
        <w:t xml:space="preserve"> 2005. Growing Minds: The Effect of School Gardening Program on the Science Achievement of Elementary School Students. </w:t>
      </w:r>
      <w:proofErr w:type="gramStart"/>
      <w:r w:rsidRPr="000F6456">
        <w:rPr>
          <w:rFonts w:ascii="Iskoola Pota" w:eastAsia="Calibri" w:hAnsi="Iskoola Pota" w:cs="Iskoola Pota"/>
          <w:i/>
          <w:color w:val="000000"/>
          <w:sz w:val="22"/>
          <w:szCs w:val="22"/>
          <w:lang w:eastAsia="en-US"/>
        </w:rPr>
        <w:t>Horticulture Technology.</w:t>
      </w:r>
      <w:proofErr w:type="gramEnd"/>
      <w:r w:rsidRPr="000F6456">
        <w:rPr>
          <w:rFonts w:ascii="Iskoola Pota" w:eastAsia="Calibri" w:hAnsi="Iskoola Pota" w:cs="Iskoola Pota"/>
          <w:i/>
          <w:color w:val="000000"/>
          <w:sz w:val="22"/>
          <w:szCs w:val="22"/>
          <w:lang w:eastAsia="en-US"/>
        </w:rPr>
        <w:t xml:space="preserve"> Vol. 15, Number 3: 448-452.</w:t>
      </w:r>
    </w:p>
    <w:p w:rsidR="000F6456" w:rsidRPr="000F6456" w:rsidRDefault="000F6456" w:rsidP="000F6456">
      <w:pPr>
        <w:rPr>
          <w:sz w:val="22"/>
          <w:szCs w:val="22"/>
        </w:rPr>
      </w:pPr>
    </w:p>
    <w:p w:rsidR="000F6456" w:rsidRPr="000F6456" w:rsidRDefault="000F6456" w:rsidP="000F6456">
      <w:pPr>
        <w:rPr>
          <w:sz w:val="22"/>
          <w:szCs w:val="22"/>
        </w:rPr>
      </w:pPr>
    </w:p>
    <w:p w:rsidR="002808B4" w:rsidRPr="000F6456" w:rsidRDefault="002808B4">
      <w:pPr>
        <w:rPr>
          <w:sz w:val="22"/>
          <w:szCs w:val="22"/>
        </w:rPr>
      </w:pPr>
    </w:p>
    <w:p w:rsidR="00775053" w:rsidRPr="000F6456" w:rsidRDefault="00701DD2">
      <w:pPr>
        <w:rPr>
          <w:sz w:val="22"/>
          <w:szCs w:val="22"/>
        </w:rPr>
      </w:pPr>
    </w:p>
    <w:sectPr w:rsidR="00775053" w:rsidRPr="000F6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018C"/>
    <w:multiLevelType w:val="hybridMultilevel"/>
    <w:tmpl w:val="D72C43D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FF011C"/>
    <w:multiLevelType w:val="hybridMultilevel"/>
    <w:tmpl w:val="59F0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BB1051"/>
    <w:multiLevelType w:val="hybridMultilevel"/>
    <w:tmpl w:val="71A2C8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B4"/>
    <w:rsid w:val="000F6456"/>
    <w:rsid w:val="00113793"/>
    <w:rsid w:val="00181A83"/>
    <w:rsid w:val="001828EB"/>
    <w:rsid w:val="002808B4"/>
    <w:rsid w:val="0051471E"/>
    <w:rsid w:val="00617782"/>
    <w:rsid w:val="00701DD2"/>
    <w:rsid w:val="008A197C"/>
    <w:rsid w:val="008F14F9"/>
    <w:rsid w:val="00B2042A"/>
    <w:rsid w:val="00C71FA1"/>
    <w:rsid w:val="00F313AA"/>
    <w:rsid w:val="00F4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B4"/>
    <w:pPr>
      <w:spacing w:after="0" w:line="240" w:lineRule="auto"/>
    </w:pPr>
    <w:rPr>
      <w:rFonts w:ascii="Cambria" w:eastAsia="MS Mincho" w:hAnsi="Cambria"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8B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808B4"/>
    <w:rPr>
      <w:rFonts w:ascii="Cambria" w:eastAsia="MS Mincho" w:hAnsi="Cambria" w:cs="Times New Roman"/>
      <w:sz w:val="24"/>
      <w:szCs w:val="20"/>
      <w:lang w:val="x-none" w:eastAsia="x-none"/>
    </w:rPr>
  </w:style>
  <w:style w:type="character" w:customStyle="1" w:styleId="secpgboxtext">
    <w:name w:val="secpgboxtext"/>
    <w:rsid w:val="002808B4"/>
  </w:style>
  <w:style w:type="paragraph" w:styleId="BalloonText">
    <w:name w:val="Balloon Text"/>
    <w:basedOn w:val="Normal"/>
    <w:link w:val="BalloonTextChar"/>
    <w:uiPriority w:val="99"/>
    <w:semiHidden/>
    <w:unhideWhenUsed/>
    <w:rsid w:val="00617782"/>
    <w:rPr>
      <w:rFonts w:ascii="Tahoma" w:hAnsi="Tahoma" w:cs="Tahoma"/>
      <w:sz w:val="16"/>
      <w:szCs w:val="16"/>
    </w:rPr>
  </w:style>
  <w:style w:type="character" w:customStyle="1" w:styleId="BalloonTextChar">
    <w:name w:val="Balloon Text Char"/>
    <w:basedOn w:val="DefaultParagraphFont"/>
    <w:link w:val="BalloonText"/>
    <w:uiPriority w:val="99"/>
    <w:semiHidden/>
    <w:rsid w:val="00617782"/>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B4"/>
    <w:pPr>
      <w:spacing w:after="0" w:line="240" w:lineRule="auto"/>
    </w:pPr>
    <w:rPr>
      <w:rFonts w:ascii="Cambria" w:eastAsia="MS Mincho" w:hAnsi="Cambria"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8B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808B4"/>
    <w:rPr>
      <w:rFonts w:ascii="Cambria" w:eastAsia="MS Mincho" w:hAnsi="Cambria" w:cs="Times New Roman"/>
      <w:sz w:val="24"/>
      <w:szCs w:val="20"/>
      <w:lang w:val="x-none" w:eastAsia="x-none"/>
    </w:rPr>
  </w:style>
  <w:style w:type="character" w:customStyle="1" w:styleId="secpgboxtext">
    <w:name w:val="secpgboxtext"/>
    <w:rsid w:val="002808B4"/>
  </w:style>
  <w:style w:type="paragraph" w:styleId="BalloonText">
    <w:name w:val="Balloon Text"/>
    <w:basedOn w:val="Normal"/>
    <w:link w:val="BalloonTextChar"/>
    <w:uiPriority w:val="99"/>
    <w:semiHidden/>
    <w:unhideWhenUsed/>
    <w:rsid w:val="00617782"/>
    <w:rPr>
      <w:rFonts w:ascii="Tahoma" w:hAnsi="Tahoma" w:cs="Tahoma"/>
      <w:sz w:val="16"/>
      <w:szCs w:val="16"/>
    </w:rPr>
  </w:style>
  <w:style w:type="character" w:customStyle="1" w:styleId="BalloonTextChar">
    <w:name w:val="Balloon Text Char"/>
    <w:basedOn w:val="DefaultParagraphFont"/>
    <w:link w:val="BalloonText"/>
    <w:uiPriority w:val="99"/>
    <w:semiHidden/>
    <w:rsid w:val="00617782"/>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 Walton</dc:creator>
  <cp:lastModifiedBy>Caren Walton</cp:lastModifiedBy>
  <cp:revision>2</cp:revision>
  <cp:lastPrinted>2014-07-03T17:11:00Z</cp:lastPrinted>
  <dcterms:created xsi:type="dcterms:W3CDTF">2014-07-07T17:36:00Z</dcterms:created>
  <dcterms:modified xsi:type="dcterms:W3CDTF">2014-07-07T17:36:00Z</dcterms:modified>
</cp:coreProperties>
</file>