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358A" w:rsidRDefault="00E0157E" w:rsidP="0006379E">
      <w:pPr>
        <w:pStyle w:val="NoSpacing"/>
        <w:rPr>
          <w:b/>
          <w:color w:val="632423" w:themeColor="accent2" w:themeShade="80"/>
          <w:szCs w:val="20"/>
        </w:rPr>
      </w:pPr>
      <w:r w:rsidRPr="00F710DF">
        <w:rPr>
          <w:b/>
          <w:noProof/>
          <w:color w:val="632423" w:themeColor="accent2" w:themeShade="80"/>
          <w:szCs w:val="20"/>
        </w:rPr>
        <mc:AlternateContent>
          <mc:Choice Requires="wps">
            <w:drawing>
              <wp:anchor distT="0" distB="0" distL="114300" distR="114300" simplePos="0" relativeHeight="251659264" behindDoc="0" locked="0" layoutInCell="1" allowOverlap="1" wp14:anchorId="3F030B82" wp14:editId="72DD48C0">
                <wp:simplePos x="0" y="0"/>
                <wp:positionH relativeFrom="column">
                  <wp:posOffset>-39370</wp:posOffset>
                </wp:positionH>
                <wp:positionV relativeFrom="paragraph">
                  <wp:posOffset>-110490</wp:posOffset>
                </wp:positionV>
                <wp:extent cx="6667500" cy="790575"/>
                <wp:effectExtent l="0" t="0" r="0" b="9525"/>
                <wp:wrapNone/>
                <wp:docPr id="2" name="Rectangle 2"/>
                <wp:cNvGraphicFramePr/>
                <a:graphic xmlns:a="http://schemas.openxmlformats.org/drawingml/2006/main">
                  <a:graphicData uri="http://schemas.microsoft.com/office/word/2010/wordprocessingShape">
                    <wps:wsp>
                      <wps:cNvSpPr/>
                      <wps:spPr>
                        <a:xfrm>
                          <a:off x="0" y="0"/>
                          <a:ext cx="6667500" cy="7905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1pt;margin-top:-8.7pt;width:5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LmnAIAAKgFAAAOAAAAZHJzL2Uyb0RvYy54bWysVEtv2zAMvg/YfxB0X50ETbIGdYqgRYcB&#10;XVv0gZ5VWYoNyKImKXGyXz9SctzHih2GXWRRJD+Sn0menu1aw7bKhwZsycdHI86UlVA1dl3yx4fL&#10;L185C1HYShiwquR7FfjZ8vOn084t1ARqMJXyDEFsWHSu5HWMblEUQdaqFeEInLKo1OBbEVH066Ly&#10;okP01hST0WhWdOAr50GqEPD1Iiv5MuFrrWS80TqoyEzJMbeYTp/OZzqL5alYrL1wdSP7NMQ/ZNGK&#10;xmLQAepCRME2vvkDqm2khwA6HkloC9C6kSrVgNWMR++qua+FU6kWJCe4gabw/2Dl9fbWs6Yq+YQz&#10;K1r8RXdImrBro9iE6OlcWKDVvbv1vRTwSrXutG/pi1WwXaJ0P1CqdpFJfJzNZvPpCJmXqJufjKbz&#10;KYEWL97Oh/hNQcvoUnKP0ROTYnsVYjY9mFCwAKapLhtjkkBtos6NZ1uBPzjuJsnVbNofUOU3ip5+&#10;M4ZMXUXmKYE3SMYSngVCzkHppaDic7npFvdGkZ2xd0oja1hgjjgg56BCSmXjOCUTalGp/EypfJxL&#10;AiRkjfEH7B7gbZEH7Jxlb0+uKrX74DzK0f/mPHikyGDj4Nw2FvxHAAar6iNn+wNJmRpi6RmqPfaU&#10;hzxswcnLBn/tlQjxVnicLuwG3BjxBg9toCs59DfOavC/Pnone2x61HLW4bSWPPzcCK84M98tjsPJ&#10;+PiYxjsJx9P5BAX/WvP8WmM37Tlgv4xxNzmZrmQfzeGqPbRPuFhWFBVVwkqMXXIZ/UE4j3mL4GqS&#10;arVKZjjSTsQre+8kgROr1LoPuyfhXd/fESfjGg6TLRbv2jzbkqeF1SaCbtIMvPDa843rIDVxv7po&#10;37yWk9XLgl3+BgAA//8DAFBLAwQUAAYACAAAACEAqrCHPOEAAAALAQAADwAAAGRycy9kb3ducmV2&#10;LnhtbEyPQU/DMAyF70j8h8hI3La0I9qgNJ0mxA5wQLBNmrh5rWkrGqdKsq38+6WncbKt9/T8vXw5&#10;mE6cyPnWsoZ0moAgLm3Vcq1ht11PHkH4gFxhZ5k0/JGHZXF7k2NW2TN/0WkTahFD2GeooQmhz6T0&#10;ZUMG/dT2xFH7sc5giKerZeXwHMNNJ2dJMpcGW44fGuzppaHyd3M0Grau/N4/odulXr3v314/1Gr9&#10;qbS+vxtWzyACDeFqhhE/okMRmQ72yJUXnYbJfBadcaYLBWI0JOohljmM2yIFWeTyf4fiAgAA//8D&#10;AFBLAQItABQABgAIAAAAIQC2gziS/gAAAOEBAAATAAAAAAAAAAAAAAAAAAAAAABbQ29udGVudF9U&#10;eXBlc10ueG1sUEsBAi0AFAAGAAgAAAAhADj9If/WAAAAlAEAAAsAAAAAAAAAAAAAAAAALwEAAF9y&#10;ZWxzLy5yZWxzUEsBAi0AFAAGAAgAAAAhAMKHUuacAgAAqAUAAA4AAAAAAAAAAAAAAAAALgIAAGRy&#10;cy9lMm9Eb2MueG1sUEsBAi0AFAAGAAgAAAAhAKqwhzzhAAAACwEAAA8AAAAAAAAAAAAAAAAA9gQA&#10;AGRycy9kb3ducmV2LnhtbFBLBQYAAAAABAAEAPMAAAAEBgAAAAA=&#10;" fillcolor="#17365d [2415]" stroked="f" strokeweight="2pt"/>
            </w:pict>
          </mc:Fallback>
        </mc:AlternateContent>
      </w:r>
    </w:p>
    <w:p w:rsidR="0087358A" w:rsidRDefault="0087358A" w:rsidP="0006379E">
      <w:pPr>
        <w:pStyle w:val="NoSpacing"/>
        <w:rPr>
          <w:b/>
          <w:color w:val="632423" w:themeColor="accent2" w:themeShade="80"/>
          <w:szCs w:val="20"/>
        </w:rPr>
      </w:pPr>
    </w:p>
    <w:p w:rsidR="0087358A" w:rsidRDefault="0087358A" w:rsidP="0006379E">
      <w:pPr>
        <w:pStyle w:val="NoSpacing"/>
        <w:rPr>
          <w:b/>
          <w:color w:val="632423" w:themeColor="accent2" w:themeShade="80"/>
          <w:szCs w:val="20"/>
        </w:rPr>
      </w:pPr>
    </w:p>
    <w:p w:rsidR="0087358A" w:rsidRDefault="0087358A" w:rsidP="0006379E">
      <w:pPr>
        <w:pStyle w:val="NoSpacing"/>
        <w:rPr>
          <w:b/>
          <w:color w:val="632423" w:themeColor="accent2" w:themeShade="80"/>
          <w:szCs w:val="20"/>
        </w:rPr>
      </w:pPr>
    </w:p>
    <w:p w:rsidR="0087358A" w:rsidRDefault="00B81E60" w:rsidP="0006379E">
      <w:pPr>
        <w:pStyle w:val="NoSpacing"/>
        <w:rPr>
          <w:b/>
          <w:color w:val="632423" w:themeColor="accent2" w:themeShade="80"/>
          <w:szCs w:val="20"/>
        </w:rPr>
      </w:pPr>
      <w:r>
        <w:rPr>
          <w:noProof/>
          <w:sz w:val="20"/>
          <w:szCs w:val="20"/>
        </w:rPr>
        <w:drawing>
          <wp:anchor distT="0" distB="0" distL="114300" distR="114300" simplePos="0" relativeHeight="251665408" behindDoc="0" locked="0" layoutInCell="1" allowOverlap="1" wp14:anchorId="0398B249" wp14:editId="13FC5CAF">
            <wp:simplePos x="0" y="0"/>
            <wp:positionH relativeFrom="column">
              <wp:posOffset>-316230</wp:posOffset>
            </wp:positionH>
            <wp:positionV relativeFrom="paragraph">
              <wp:posOffset>59055</wp:posOffset>
            </wp:positionV>
            <wp:extent cx="1847850" cy="908050"/>
            <wp:effectExtent l="0" t="0" r="0" b="6350"/>
            <wp:wrapNone/>
            <wp:docPr id="1" name="Picture 1" descr="C:\Users\Rusty.Hohlt\AppData\Local\Microsoft\Windows\Temporary Internet Files\Content.Outlook\T5GZEXXM\LGEG horz 5 by 3 at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ty.Hohlt\AppData\Local\Microsoft\Windows\Temporary Internet Files\Content.Outlook\T5GZEXXM\LGEG horz 5 by 3 at 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58A" w:rsidRDefault="00B81E60" w:rsidP="0006379E">
      <w:pPr>
        <w:pStyle w:val="NoSpacing"/>
        <w:rPr>
          <w:b/>
          <w:color w:val="632423" w:themeColor="accent2" w:themeShade="80"/>
          <w:szCs w:val="20"/>
        </w:rPr>
      </w:pPr>
      <w:r w:rsidRPr="00F710DF">
        <w:rPr>
          <w:b/>
          <w:noProof/>
          <w:color w:val="632423" w:themeColor="accent2" w:themeShade="80"/>
          <w:szCs w:val="20"/>
        </w:rPr>
        <mc:AlternateContent>
          <mc:Choice Requires="wps">
            <w:drawing>
              <wp:anchor distT="0" distB="0" distL="114300" distR="114300" simplePos="0" relativeHeight="251662336" behindDoc="0" locked="0" layoutInCell="1" allowOverlap="1" wp14:anchorId="09408346" wp14:editId="0AF8BDDE">
                <wp:simplePos x="0" y="0"/>
                <wp:positionH relativeFrom="column">
                  <wp:posOffset>-182880</wp:posOffset>
                </wp:positionH>
                <wp:positionV relativeFrom="paragraph">
                  <wp:posOffset>160655</wp:posOffset>
                </wp:positionV>
                <wp:extent cx="6943725" cy="1028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28700"/>
                        </a:xfrm>
                        <a:prstGeom prst="rect">
                          <a:avLst/>
                        </a:prstGeom>
                        <a:solidFill>
                          <a:srgbClr val="FFFFFF"/>
                        </a:solidFill>
                        <a:ln w="9525">
                          <a:noFill/>
                          <a:miter lim="800000"/>
                          <a:headEnd/>
                          <a:tailEnd/>
                        </a:ln>
                      </wps:spPr>
                      <wps:txbx>
                        <w:txbxContent>
                          <w:p w:rsidR="00B81E60" w:rsidRDefault="00B81E60" w:rsidP="00F710DF">
                            <w:pPr>
                              <w:pStyle w:val="NoSpacing"/>
                              <w:jc w:val="center"/>
                              <w:rPr>
                                <w:b/>
                                <w:color w:val="632423" w:themeColor="accent2" w:themeShade="80"/>
                                <w:sz w:val="32"/>
                              </w:rPr>
                            </w:pPr>
                          </w:p>
                          <w:p w:rsidR="00F710DF" w:rsidRPr="00F710DF" w:rsidRDefault="00F710DF" w:rsidP="00F710DF">
                            <w:pPr>
                              <w:pStyle w:val="NoSpacing"/>
                              <w:jc w:val="center"/>
                              <w:rPr>
                                <w:b/>
                                <w:color w:val="632423" w:themeColor="accent2" w:themeShade="80"/>
                                <w:sz w:val="32"/>
                              </w:rPr>
                            </w:pPr>
                            <w:r w:rsidRPr="00F710DF">
                              <w:rPr>
                                <w:b/>
                                <w:color w:val="632423" w:themeColor="accent2" w:themeShade="80"/>
                                <w:sz w:val="32"/>
                              </w:rPr>
                              <w:t>Agent Program Planning Information</w:t>
                            </w:r>
                          </w:p>
                          <w:p w:rsidR="005E5363" w:rsidRDefault="000B434E" w:rsidP="005E5363">
                            <w:pPr>
                              <w:widowControl w:val="0"/>
                              <w:spacing w:after="120" w:line="285" w:lineRule="auto"/>
                              <w:jc w:val="center"/>
                              <w:rPr>
                                <w:rFonts w:ascii="Trebuchet MS" w:eastAsia="Times New Roman" w:hAnsi="Trebuchet MS"/>
                                <w:color w:val="000000"/>
                                <w:kern w:val="28"/>
                                <w:lang w:eastAsia="zh-CN"/>
                                <w14:cntxtAlts/>
                              </w:rPr>
                            </w:pPr>
                            <w:r>
                              <w:rPr>
                                <w:b/>
                                <w:color w:val="632423" w:themeColor="accent2" w:themeShade="80"/>
                                <w:sz w:val="32"/>
                              </w:rPr>
                              <w:t>Learn, Grow,</w:t>
                            </w:r>
                            <w:r w:rsidR="00F710DF" w:rsidRPr="00F710DF">
                              <w:rPr>
                                <w:b/>
                                <w:color w:val="632423" w:themeColor="accent2" w:themeShade="80"/>
                                <w:sz w:val="32"/>
                              </w:rPr>
                              <w:t xml:space="preserve"> Eat</w:t>
                            </w:r>
                            <w:r>
                              <w:rPr>
                                <w:b/>
                                <w:color w:val="632423" w:themeColor="accent2" w:themeShade="80"/>
                                <w:sz w:val="32"/>
                              </w:rPr>
                              <w:t xml:space="preserve"> &amp;</w:t>
                            </w:r>
                            <w:r w:rsidR="00F710DF" w:rsidRPr="00F710DF">
                              <w:rPr>
                                <w:b/>
                                <w:color w:val="632423" w:themeColor="accent2" w:themeShade="80"/>
                                <w:sz w:val="32"/>
                              </w:rPr>
                              <w:t xml:space="preserve">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12.65pt;width:546.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nJIgIAAB4EAAAOAAAAZHJzL2Uyb0RvYy54bWysU21v2yAQ/j5p/wHxfbHjJk1ixam6dJkm&#10;dS9Sux+AMY7RgGNAYne/vgdO06j7No0PiOPuHp577ljfDFqRo3BegqnodJJTIgyHRpp9RX8+7j4s&#10;KfGBmYYpMKKiT8LTm837d+velqKADlQjHEEQ48veVrQLwZZZ5nknNPMTsMKgswWnWUDT7bPGsR7R&#10;tcqKPL/OenCNdcCF93h7NzrpJuG3reDhe9t6EYiqKHILaXdpr+Oebdas3DtmO8lPNNg/sNBMGnz0&#10;DHXHAiMHJ/+C0pI78NCGCQedQdtKLlINWM00f1PNQ8esSLWgON6eZfL/D5Z/O/5wRDYVvcoXlBim&#10;sUmPYgjkIwykiPr01pcY9mAxMAx4jX1OtXp7D/yXJwa2HTN7cesc9J1gDfKbxszsInXE8RGk7r9C&#10;g8+wQ4AENLROR/FQDoLo2Kenc28iFY6X16vZ1aKYU8LRN82L5SJP3ctY+ZJunQ+fBWgSDxV12PwE&#10;z473PkQ6rHwJia95ULLZSaWS4fb1VjlyZDgou7RSBW/ClCF9RVdzJBKzDMT8NENaBhxkJXVFl3lc&#10;42hFOT6ZJoUEJtV4RibKnPSJkozihKEeMDCKVkPzhEo5GAcWPxgeOnB/KOlxWCvqfx+YE5SoLwbV&#10;Xk1nszjdyZjNFwUa7tJTX3qY4QhV0UDJeNyG9CPGim6xK61Mer0yOXHFIUwynj5MnPJLO0W9fuvN&#10;MwAAAP//AwBQSwMEFAAGAAgAAAAhAEfyu83gAAAACwEAAA8AAABkcnMvZG93bnJldi54bWxMj8FO&#10;wzAQRO9I/IO1SFxQ65C2SQhxKkACcW3pB2zibRIRr6PYbdK/xz3R2452NPOm2M6mF2caXWdZwfMy&#10;AkFcW91xo+Dw87nIQDiPrLG3TAou5GBb3t8VmGs78Y7Oe9+IEMIuRwWt90MupatbMuiWdiAOv6Md&#10;Dfogx0bqEacQbnoZR1EiDXYcGloc6KOl+nd/MgqO39PT5mWqvvwh3a2Td+zSyl6UenyY315BeJr9&#10;vxmu+AEdysBU2RNrJ3oFizgL6F5BvFmBuBqiZJ2CqMKVpSuQZSFvN5R/AAAA//8DAFBLAQItABQA&#10;BgAIAAAAIQC2gziS/gAAAOEBAAATAAAAAAAAAAAAAAAAAAAAAABbQ29udGVudF9UeXBlc10ueG1s&#10;UEsBAi0AFAAGAAgAAAAhADj9If/WAAAAlAEAAAsAAAAAAAAAAAAAAAAALwEAAF9yZWxzLy5yZWxz&#10;UEsBAi0AFAAGAAgAAAAhAKccackiAgAAHgQAAA4AAAAAAAAAAAAAAAAALgIAAGRycy9lMm9Eb2Mu&#10;eG1sUEsBAi0AFAAGAAgAAAAhAEfyu83gAAAACwEAAA8AAAAAAAAAAAAAAAAAfAQAAGRycy9kb3du&#10;cmV2LnhtbFBLBQYAAAAABAAEAPMAAACJBQAAAAA=&#10;" stroked="f">
                <v:textbox>
                  <w:txbxContent>
                    <w:p w:rsidR="00B81E60" w:rsidRDefault="00B81E60" w:rsidP="00F710DF">
                      <w:pPr>
                        <w:pStyle w:val="NoSpacing"/>
                        <w:jc w:val="center"/>
                        <w:rPr>
                          <w:b/>
                          <w:color w:val="632423" w:themeColor="accent2" w:themeShade="80"/>
                          <w:sz w:val="32"/>
                        </w:rPr>
                      </w:pPr>
                    </w:p>
                    <w:p w:rsidR="00F710DF" w:rsidRPr="00F710DF" w:rsidRDefault="00F710DF" w:rsidP="00F710DF">
                      <w:pPr>
                        <w:pStyle w:val="NoSpacing"/>
                        <w:jc w:val="center"/>
                        <w:rPr>
                          <w:b/>
                          <w:color w:val="632423" w:themeColor="accent2" w:themeShade="80"/>
                          <w:sz w:val="32"/>
                        </w:rPr>
                      </w:pPr>
                      <w:r w:rsidRPr="00F710DF">
                        <w:rPr>
                          <w:b/>
                          <w:color w:val="632423" w:themeColor="accent2" w:themeShade="80"/>
                          <w:sz w:val="32"/>
                        </w:rPr>
                        <w:t>Agent Program Planning Information</w:t>
                      </w:r>
                    </w:p>
                    <w:p w:rsidR="005E5363" w:rsidRDefault="000B434E" w:rsidP="005E5363">
                      <w:pPr>
                        <w:widowControl w:val="0"/>
                        <w:spacing w:after="120" w:line="285" w:lineRule="auto"/>
                        <w:jc w:val="center"/>
                        <w:rPr>
                          <w:rFonts w:ascii="Trebuchet MS" w:eastAsia="Times New Roman" w:hAnsi="Trebuchet MS"/>
                          <w:color w:val="000000"/>
                          <w:kern w:val="28"/>
                          <w:lang w:eastAsia="zh-CN"/>
                          <w14:cntxtAlts/>
                        </w:rPr>
                      </w:pPr>
                      <w:r>
                        <w:rPr>
                          <w:b/>
                          <w:color w:val="632423" w:themeColor="accent2" w:themeShade="80"/>
                          <w:sz w:val="32"/>
                        </w:rPr>
                        <w:t>Learn, Grow,</w:t>
                      </w:r>
                      <w:r w:rsidR="00F710DF" w:rsidRPr="00F710DF">
                        <w:rPr>
                          <w:b/>
                          <w:color w:val="632423" w:themeColor="accent2" w:themeShade="80"/>
                          <w:sz w:val="32"/>
                        </w:rPr>
                        <w:t xml:space="preserve"> Eat</w:t>
                      </w:r>
                      <w:r>
                        <w:rPr>
                          <w:b/>
                          <w:color w:val="632423" w:themeColor="accent2" w:themeShade="80"/>
                          <w:sz w:val="32"/>
                        </w:rPr>
                        <w:t xml:space="preserve"> &amp;</w:t>
                      </w:r>
                      <w:r w:rsidR="00F710DF" w:rsidRPr="00F710DF">
                        <w:rPr>
                          <w:b/>
                          <w:color w:val="632423" w:themeColor="accent2" w:themeShade="80"/>
                          <w:sz w:val="32"/>
                        </w:rPr>
                        <w:t xml:space="preserve"> Go!</w:t>
                      </w:r>
                    </w:p>
                  </w:txbxContent>
                </v:textbox>
              </v:shape>
            </w:pict>
          </mc:Fallback>
        </mc:AlternateContent>
      </w:r>
    </w:p>
    <w:p w:rsidR="0087358A" w:rsidRDefault="0087358A" w:rsidP="0006379E">
      <w:pPr>
        <w:pStyle w:val="NoSpacing"/>
        <w:rPr>
          <w:b/>
          <w:color w:val="632423" w:themeColor="accent2" w:themeShade="80"/>
          <w:szCs w:val="20"/>
        </w:rPr>
      </w:pPr>
    </w:p>
    <w:p w:rsidR="00BF1E49" w:rsidRDefault="00BF1E49" w:rsidP="0006379E">
      <w:pPr>
        <w:pStyle w:val="NoSpacing"/>
        <w:rPr>
          <w:b/>
          <w:color w:val="632423" w:themeColor="accent2" w:themeShade="80"/>
          <w:szCs w:val="20"/>
        </w:rPr>
      </w:pPr>
    </w:p>
    <w:p w:rsidR="005E5363" w:rsidRDefault="005E5363" w:rsidP="0006379E">
      <w:pPr>
        <w:pStyle w:val="NoSpacing"/>
        <w:rPr>
          <w:b/>
          <w:color w:val="632423" w:themeColor="accent2" w:themeShade="80"/>
          <w:szCs w:val="20"/>
        </w:rPr>
      </w:pPr>
    </w:p>
    <w:p w:rsidR="005E5363" w:rsidRDefault="005E5363" w:rsidP="0006379E">
      <w:pPr>
        <w:pStyle w:val="NoSpacing"/>
        <w:rPr>
          <w:b/>
          <w:color w:val="632423" w:themeColor="accent2" w:themeShade="80"/>
          <w:szCs w:val="20"/>
        </w:rPr>
      </w:pPr>
    </w:p>
    <w:p w:rsidR="005E5363" w:rsidRDefault="005E5363" w:rsidP="0006379E">
      <w:pPr>
        <w:pStyle w:val="NoSpacing"/>
        <w:rPr>
          <w:b/>
          <w:color w:val="632423" w:themeColor="accent2" w:themeShade="80"/>
          <w:szCs w:val="20"/>
        </w:rPr>
      </w:pPr>
    </w:p>
    <w:p w:rsidR="005E5363" w:rsidRDefault="005E5363" w:rsidP="0006379E">
      <w:pPr>
        <w:pStyle w:val="NoSpacing"/>
        <w:rPr>
          <w:b/>
          <w:color w:val="632423" w:themeColor="accent2" w:themeShade="80"/>
          <w:szCs w:val="20"/>
        </w:rPr>
      </w:pPr>
    </w:p>
    <w:p w:rsidR="00F2080E" w:rsidRPr="0006379E" w:rsidRDefault="00F2080E" w:rsidP="0006379E">
      <w:pPr>
        <w:pStyle w:val="NoSpacing"/>
        <w:rPr>
          <w:b/>
          <w:sz w:val="20"/>
          <w:szCs w:val="20"/>
        </w:rPr>
      </w:pPr>
      <w:r w:rsidRPr="00F710DF">
        <w:rPr>
          <w:b/>
          <w:color w:val="632423" w:themeColor="accent2" w:themeShade="80"/>
          <w:szCs w:val="20"/>
        </w:rPr>
        <w:t>Relevance</w:t>
      </w:r>
      <w:r w:rsidRPr="0006379E">
        <w:rPr>
          <w:b/>
          <w:sz w:val="20"/>
          <w:szCs w:val="20"/>
        </w:rPr>
        <w:t xml:space="preserve"> </w:t>
      </w:r>
    </w:p>
    <w:p w:rsidR="00D35204" w:rsidRDefault="00D35204" w:rsidP="0006379E">
      <w:pPr>
        <w:pStyle w:val="NoSpacing"/>
        <w:rPr>
          <w:sz w:val="20"/>
          <w:szCs w:val="20"/>
        </w:rPr>
      </w:pPr>
      <w:r w:rsidRPr="0006379E">
        <w:rPr>
          <w:sz w:val="20"/>
          <w:szCs w:val="20"/>
        </w:rPr>
        <w:t>The high prevalence of childhood obesity in Texas is cause for concern because it is linked to negative health consequences for children and their families. Schools are uniquely positioned to have a positive impact on children’s knowledge and behaviors associated with obesity. For example, vegetable exposure plus school gardening has been shown to improve consumption of fruits and vegetables. Adding more frequent and more vigorous physical activities during school has been shown to improve student fitness and weight. The home environment is also an important influence on a child’s eating and activity behaviors. The greater the frequency of vegetable consumption and physical activity by parents, the greater the consumption of these foods and exercise by their children. With child obesity rates among low-income children in Texas ranging from 10% to over 20%, engaging schools and families in prevention efforts is critical.</w:t>
      </w:r>
    </w:p>
    <w:p w:rsidR="0006379E" w:rsidRPr="0006379E" w:rsidRDefault="0006379E" w:rsidP="0006379E">
      <w:pPr>
        <w:pStyle w:val="NoSpacing"/>
        <w:rPr>
          <w:sz w:val="20"/>
          <w:szCs w:val="20"/>
        </w:rPr>
      </w:pPr>
    </w:p>
    <w:p w:rsidR="00477CBA" w:rsidRPr="00F710DF" w:rsidRDefault="00477CBA" w:rsidP="0006379E">
      <w:pPr>
        <w:pStyle w:val="NoSpacing"/>
        <w:rPr>
          <w:b/>
          <w:color w:val="632423" w:themeColor="accent2" w:themeShade="80"/>
          <w:szCs w:val="20"/>
        </w:rPr>
      </w:pPr>
      <w:r w:rsidRPr="00F710DF">
        <w:rPr>
          <w:b/>
          <w:color w:val="632423" w:themeColor="accent2" w:themeShade="80"/>
          <w:szCs w:val="20"/>
        </w:rPr>
        <w:t>Response</w:t>
      </w:r>
    </w:p>
    <w:p w:rsidR="00477CBA" w:rsidRPr="0006379E" w:rsidRDefault="00477CBA" w:rsidP="0006379E">
      <w:pPr>
        <w:pStyle w:val="NoSpacing"/>
        <w:rPr>
          <w:sz w:val="20"/>
          <w:szCs w:val="20"/>
        </w:rPr>
      </w:pPr>
      <w:r w:rsidRPr="0006379E">
        <w:rPr>
          <w:sz w:val="20"/>
          <w:szCs w:val="20"/>
        </w:rPr>
        <w:t xml:space="preserve">Texas </w:t>
      </w:r>
      <w:proofErr w:type="gramStart"/>
      <w:r w:rsidRPr="0006379E">
        <w:rPr>
          <w:sz w:val="20"/>
          <w:szCs w:val="20"/>
        </w:rPr>
        <w:t>A&amp;M</w:t>
      </w:r>
      <w:proofErr w:type="gramEnd"/>
      <w:r w:rsidRPr="0006379E">
        <w:rPr>
          <w:sz w:val="20"/>
          <w:szCs w:val="20"/>
        </w:rPr>
        <w:t xml:space="preserve"> AgriLife Extension Service has tools and programs to address reducing childhood obesity already in place. </w:t>
      </w:r>
      <w:r w:rsidR="000B434E">
        <w:rPr>
          <w:sz w:val="20"/>
          <w:szCs w:val="20"/>
        </w:rPr>
        <w:t>Learn, Grow, Eat &amp; GO!</w:t>
      </w:r>
      <w:r w:rsidRPr="0006379E">
        <w:rPr>
          <w:sz w:val="20"/>
          <w:szCs w:val="20"/>
        </w:rPr>
        <w:t xml:space="preserve"> </w:t>
      </w:r>
      <w:proofErr w:type="gramStart"/>
      <w:r w:rsidRPr="0006379E">
        <w:rPr>
          <w:sz w:val="20"/>
          <w:szCs w:val="20"/>
        </w:rPr>
        <w:t>seeks</w:t>
      </w:r>
      <w:proofErr w:type="gramEnd"/>
      <w:r w:rsidRPr="0006379E">
        <w:rPr>
          <w:sz w:val="20"/>
          <w:szCs w:val="20"/>
        </w:rPr>
        <w:t xml:space="preserve"> to combine those interdisciplinary programs in order </w:t>
      </w:r>
      <w:r w:rsidR="006704A6">
        <w:rPr>
          <w:sz w:val="20"/>
          <w:szCs w:val="20"/>
        </w:rPr>
        <w:t>t</w:t>
      </w:r>
      <w:r w:rsidRPr="0006379E">
        <w:rPr>
          <w:sz w:val="20"/>
          <w:szCs w:val="20"/>
        </w:rPr>
        <w:t xml:space="preserve">o make an impact on children’s behaviors related to childhood obesity.  The program combines the efforts of the </w:t>
      </w:r>
      <w:r w:rsidR="000B434E">
        <w:rPr>
          <w:sz w:val="20"/>
          <w:szCs w:val="20"/>
        </w:rPr>
        <w:t xml:space="preserve">Learn, Grow, </w:t>
      </w:r>
      <w:proofErr w:type="gramStart"/>
      <w:r w:rsidR="000B434E">
        <w:rPr>
          <w:sz w:val="20"/>
          <w:szCs w:val="20"/>
        </w:rPr>
        <w:t>Eat</w:t>
      </w:r>
      <w:proofErr w:type="gramEnd"/>
      <w:r w:rsidR="000B434E">
        <w:rPr>
          <w:sz w:val="20"/>
          <w:szCs w:val="20"/>
        </w:rPr>
        <w:t xml:space="preserve"> &amp; GO!</w:t>
      </w:r>
      <w:r w:rsidRPr="0006379E">
        <w:rPr>
          <w:sz w:val="20"/>
          <w:szCs w:val="20"/>
        </w:rPr>
        <w:t xml:space="preserve"> </w:t>
      </w:r>
      <w:proofErr w:type="gramStart"/>
      <w:r w:rsidRPr="0006379E">
        <w:rPr>
          <w:sz w:val="20"/>
          <w:szCs w:val="20"/>
        </w:rPr>
        <w:t>curriculum</w:t>
      </w:r>
      <w:proofErr w:type="gramEnd"/>
      <w:r w:rsidRPr="0006379E">
        <w:rPr>
          <w:sz w:val="20"/>
          <w:szCs w:val="20"/>
        </w:rPr>
        <w:t xml:space="preserve"> (</w:t>
      </w:r>
      <w:r w:rsidR="006704A6">
        <w:rPr>
          <w:sz w:val="20"/>
          <w:szCs w:val="20"/>
        </w:rPr>
        <w:t xml:space="preserve">LGEG - </w:t>
      </w:r>
      <w:r w:rsidRPr="0006379E">
        <w:rPr>
          <w:sz w:val="20"/>
          <w:szCs w:val="20"/>
        </w:rPr>
        <w:t>a modification/revision of the Junior Master Gardener “Nutrition in the Garden”), Walk Across Texas, and the Coordinated Approach to Child Health program.</w:t>
      </w:r>
    </w:p>
    <w:p w:rsidR="00477CBA" w:rsidRPr="0006379E" w:rsidRDefault="00477CBA" w:rsidP="0006379E">
      <w:pPr>
        <w:pStyle w:val="NoSpacing"/>
        <w:rPr>
          <w:sz w:val="20"/>
          <w:szCs w:val="20"/>
        </w:rPr>
      </w:pPr>
    </w:p>
    <w:p w:rsidR="00CE14D3" w:rsidRPr="00F710DF" w:rsidRDefault="00F2080E" w:rsidP="0006379E">
      <w:pPr>
        <w:pStyle w:val="NoSpacing"/>
        <w:rPr>
          <w:b/>
          <w:color w:val="632423" w:themeColor="accent2" w:themeShade="80"/>
          <w:szCs w:val="20"/>
        </w:rPr>
      </w:pPr>
      <w:r w:rsidRPr="00F710DF">
        <w:rPr>
          <w:b/>
          <w:color w:val="632423" w:themeColor="accent2" w:themeShade="80"/>
          <w:szCs w:val="20"/>
        </w:rPr>
        <w:t>Program Structure</w:t>
      </w:r>
    </w:p>
    <w:p w:rsidR="00CE14D3" w:rsidRPr="0006379E" w:rsidRDefault="00CE14D3" w:rsidP="0006379E">
      <w:pPr>
        <w:pStyle w:val="NoSpacing"/>
        <w:rPr>
          <w:rFonts w:eastAsia="Calibri"/>
          <w:sz w:val="20"/>
          <w:szCs w:val="20"/>
        </w:rPr>
      </w:pPr>
      <w:proofErr w:type="gramStart"/>
      <w:r w:rsidRPr="0006379E">
        <w:rPr>
          <w:rFonts w:eastAsia="Calibri"/>
          <w:sz w:val="20"/>
          <w:szCs w:val="20"/>
        </w:rPr>
        <w:t xml:space="preserve">The </w:t>
      </w:r>
      <w:r w:rsidR="000B434E">
        <w:rPr>
          <w:sz w:val="20"/>
          <w:szCs w:val="20"/>
        </w:rPr>
        <w:t>Learn</w:t>
      </w:r>
      <w:proofErr w:type="gramEnd"/>
      <w:r w:rsidR="000B434E">
        <w:rPr>
          <w:sz w:val="20"/>
          <w:szCs w:val="20"/>
        </w:rPr>
        <w:t xml:space="preserve">, Grow, Eat &amp; GO! </w:t>
      </w:r>
      <w:proofErr w:type="gramStart"/>
      <w:r w:rsidRPr="0006379E">
        <w:rPr>
          <w:rFonts w:eastAsia="Calibri"/>
          <w:sz w:val="20"/>
          <w:szCs w:val="20"/>
        </w:rPr>
        <w:t>curriculum</w:t>
      </w:r>
      <w:proofErr w:type="gramEnd"/>
      <w:r w:rsidRPr="0006379E">
        <w:rPr>
          <w:rFonts w:eastAsia="Calibri"/>
          <w:sz w:val="20"/>
          <w:szCs w:val="20"/>
        </w:rPr>
        <w:t xml:space="preserve"> emphasizes science, math, language art/reading, social studies and health through effective learning activities with both the </w:t>
      </w:r>
      <w:r w:rsidR="006704A6">
        <w:rPr>
          <w:rFonts w:eastAsia="Calibri"/>
          <w:sz w:val="20"/>
          <w:szCs w:val="20"/>
        </w:rPr>
        <w:t>LGEG</w:t>
      </w:r>
      <w:r w:rsidRPr="0006379E">
        <w:rPr>
          <w:rFonts w:eastAsia="Calibri"/>
          <w:sz w:val="20"/>
          <w:szCs w:val="20"/>
        </w:rPr>
        <w:t xml:space="preserve"> and WAT programs.</w:t>
      </w:r>
      <w:r w:rsidR="0006379E">
        <w:rPr>
          <w:rFonts w:eastAsia="Calibri"/>
          <w:sz w:val="20"/>
          <w:szCs w:val="20"/>
        </w:rPr>
        <w:t xml:space="preserve"> </w:t>
      </w:r>
      <w:r w:rsidRPr="0006379E">
        <w:rPr>
          <w:sz w:val="20"/>
          <w:szCs w:val="20"/>
        </w:rPr>
        <w:t xml:space="preserve">The </w:t>
      </w:r>
      <w:r w:rsidR="006704A6">
        <w:rPr>
          <w:sz w:val="20"/>
          <w:szCs w:val="20"/>
        </w:rPr>
        <w:t>LGEG</w:t>
      </w:r>
      <w:r w:rsidRPr="0006379E">
        <w:rPr>
          <w:sz w:val="20"/>
          <w:szCs w:val="20"/>
        </w:rPr>
        <w:t xml:space="preserve"> curriculum was designed to engage children and their families in school gardens, vegetable recipe tastings, </w:t>
      </w:r>
      <w:proofErr w:type="gramStart"/>
      <w:r w:rsidRPr="0006379E">
        <w:rPr>
          <w:sz w:val="20"/>
          <w:szCs w:val="20"/>
        </w:rPr>
        <w:t>classroom</w:t>
      </w:r>
      <w:proofErr w:type="gramEnd"/>
      <w:r w:rsidRPr="0006379E">
        <w:rPr>
          <w:sz w:val="20"/>
          <w:szCs w:val="20"/>
        </w:rPr>
        <w:t xml:space="preserve"> activities and take home family stories; therefore, t</w:t>
      </w:r>
      <w:r w:rsidRPr="0006379E">
        <w:rPr>
          <w:rFonts w:eastAsia="Calibri"/>
          <w:sz w:val="20"/>
          <w:szCs w:val="20"/>
        </w:rPr>
        <w:t>he curriculum includes:</w:t>
      </w:r>
    </w:p>
    <w:p w:rsidR="00CE14D3" w:rsidRPr="0006379E" w:rsidRDefault="00CE14D3" w:rsidP="0006379E">
      <w:pPr>
        <w:pStyle w:val="NoSpacing"/>
        <w:numPr>
          <w:ilvl w:val="0"/>
          <w:numId w:val="3"/>
        </w:numPr>
        <w:rPr>
          <w:sz w:val="20"/>
          <w:szCs w:val="20"/>
        </w:rPr>
      </w:pPr>
      <w:r w:rsidRPr="0006379E">
        <w:rPr>
          <w:sz w:val="20"/>
          <w:szCs w:val="20"/>
        </w:rPr>
        <w:t>10 weeks of in-class, TEKS aligned, activities with 2 concepts per week (taught by the teacher)</w:t>
      </w:r>
    </w:p>
    <w:p w:rsidR="00CE14D3" w:rsidRDefault="00CE14D3" w:rsidP="0006379E">
      <w:pPr>
        <w:pStyle w:val="NoSpacing"/>
        <w:numPr>
          <w:ilvl w:val="0"/>
          <w:numId w:val="3"/>
        </w:numPr>
        <w:rPr>
          <w:sz w:val="20"/>
          <w:szCs w:val="20"/>
        </w:rPr>
      </w:pPr>
      <w:r w:rsidRPr="0006379E">
        <w:rPr>
          <w:sz w:val="20"/>
          <w:szCs w:val="20"/>
        </w:rPr>
        <w:t>Classroom raised bed or container garden</w:t>
      </w:r>
    </w:p>
    <w:p w:rsidR="00E0157E" w:rsidRDefault="00E0157E" w:rsidP="00E0157E">
      <w:pPr>
        <w:pStyle w:val="NoSpacing"/>
        <w:rPr>
          <w:sz w:val="20"/>
          <w:szCs w:val="20"/>
        </w:rPr>
      </w:pPr>
      <w:r>
        <w:rPr>
          <w:b/>
          <w:noProof/>
          <w:color w:val="C0504D" w:themeColor="accent2"/>
          <w:szCs w:val="20"/>
        </w:rPr>
        <w:lastRenderedPageBreak/>
        <w:drawing>
          <wp:anchor distT="0" distB="0" distL="114300" distR="114300" simplePos="0" relativeHeight="251663360" behindDoc="0" locked="0" layoutInCell="1" allowOverlap="1" wp14:anchorId="0B115061" wp14:editId="3245539C">
            <wp:simplePos x="0" y="0"/>
            <wp:positionH relativeFrom="column">
              <wp:posOffset>1285875</wp:posOffset>
            </wp:positionH>
            <wp:positionV relativeFrom="paragraph">
              <wp:posOffset>-31115</wp:posOffset>
            </wp:positionV>
            <wp:extent cx="1752600" cy="653415"/>
            <wp:effectExtent l="0" t="0" r="0" b="0"/>
            <wp:wrapNone/>
            <wp:docPr id="3" name="Picture 3" descr="C:\Users\Rusty.Hohlt\Desktop\TAMAgEXT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ty.Hohlt\Desktop\TAMAgEXT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57E" w:rsidRDefault="00E0157E" w:rsidP="00E0157E">
      <w:pPr>
        <w:pStyle w:val="NoSpacing"/>
        <w:rPr>
          <w:sz w:val="20"/>
          <w:szCs w:val="20"/>
        </w:rPr>
      </w:pPr>
    </w:p>
    <w:p w:rsidR="005E5363" w:rsidRDefault="005E5363" w:rsidP="005E5363">
      <w:pPr>
        <w:pStyle w:val="NoSpacing"/>
        <w:rPr>
          <w:sz w:val="20"/>
          <w:szCs w:val="20"/>
        </w:rPr>
      </w:pPr>
    </w:p>
    <w:p w:rsidR="005E5363" w:rsidRDefault="005E5363" w:rsidP="005E5363">
      <w:pPr>
        <w:pStyle w:val="NoSpacing"/>
        <w:rPr>
          <w:sz w:val="20"/>
          <w:szCs w:val="20"/>
        </w:rPr>
      </w:pPr>
    </w:p>
    <w:p w:rsidR="005E5363" w:rsidRPr="0006379E" w:rsidRDefault="005E5363" w:rsidP="005E5363">
      <w:pPr>
        <w:pStyle w:val="NoSpacing"/>
        <w:rPr>
          <w:sz w:val="20"/>
          <w:szCs w:val="20"/>
        </w:rPr>
      </w:pPr>
    </w:p>
    <w:p w:rsidR="00B209F4" w:rsidRDefault="00B209F4" w:rsidP="00B209F4">
      <w:pPr>
        <w:pStyle w:val="NoSpacing"/>
        <w:rPr>
          <w:sz w:val="20"/>
          <w:szCs w:val="20"/>
        </w:rPr>
      </w:pPr>
    </w:p>
    <w:p w:rsidR="00E0157E" w:rsidRDefault="00E0157E" w:rsidP="00B209F4">
      <w:pPr>
        <w:pStyle w:val="NoSpacing"/>
        <w:rPr>
          <w:sz w:val="20"/>
          <w:szCs w:val="20"/>
        </w:rPr>
      </w:pPr>
    </w:p>
    <w:p w:rsidR="00B209F4" w:rsidRDefault="00B209F4" w:rsidP="00B209F4">
      <w:pPr>
        <w:pStyle w:val="NoSpacing"/>
        <w:rPr>
          <w:sz w:val="20"/>
          <w:szCs w:val="20"/>
        </w:rPr>
      </w:pPr>
    </w:p>
    <w:p w:rsidR="00B209F4" w:rsidRDefault="00B209F4" w:rsidP="00B209F4">
      <w:pPr>
        <w:pStyle w:val="NoSpacing"/>
        <w:rPr>
          <w:sz w:val="20"/>
          <w:szCs w:val="20"/>
        </w:rPr>
      </w:pPr>
    </w:p>
    <w:p w:rsidR="00B209F4" w:rsidRDefault="00B209F4" w:rsidP="00B209F4">
      <w:pPr>
        <w:pStyle w:val="NoSpacing"/>
        <w:rPr>
          <w:sz w:val="20"/>
          <w:szCs w:val="20"/>
        </w:rPr>
      </w:pPr>
    </w:p>
    <w:p w:rsidR="00B209F4" w:rsidRDefault="00B209F4" w:rsidP="00B209F4">
      <w:pPr>
        <w:pStyle w:val="NoSpacing"/>
        <w:rPr>
          <w:sz w:val="20"/>
          <w:szCs w:val="20"/>
        </w:rPr>
      </w:pPr>
    </w:p>
    <w:p w:rsidR="00B209F4" w:rsidRDefault="00B209F4" w:rsidP="00B209F4">
      <w:pPr>
        <w:pStyle w:val="NoSpacing"/>
        <w:rPr>
          <w:sz w:val="20"/>
          <w:szCs w:val="20"/>
        </w:rPr>
      </w:pPr>
    </w:p>
    <w:p w:rsidR="00B209F4" w:rsidRDefault="00B209F4" w:rsidP="00B209F4">
      <w:pPr>
        <w:pStyle w:val="NoSpacing"/>
        <w:rPr>
          <w:sz w:val="20"/>
          <w:szCs w:val="20"/>
        </w:rPr>
      </w:pPr>
    </w:p>
    <w:p w:rsidR="00B209F4" w:rsidRDefault="00B209F4" w:rsidP="00B209F4">
      <w:pPr>
        <w:pStyle w:val="NoSpacing"/>
        <w:rPr>
          <w:sz w:val="20"/>
          <w:szCs w:val="20"/>
        </w:rPr>
      </w:pPr>
    </w:p>
    <w:p w:rsidR="00DD2E6F" w:rsidRPr="00DD2E6F" w:rsidRDefault="00DD2E6F" w:rsidP="00DD2E6F">
      <w:pPr>
        <w:pStyle w:val="NoSpacing"/>
        <w:numPr>
          <w:ilvl w:val="0"/>
          <w:numId w:val="3"/>
        </w:numPr>
        <w:rPr>
          <w:sz w:val="20"/>
          <w:szCs w:val="20"/>
        </w:rPr>
      </w:pPr>
      <w:r w:rsidRPr="00DD2E6F">
        <w:rPr>
          <w:sz w:val="20"/>
          <w:szCs w:val="20"/>
        </w:rPr>
        <w:t>Classroom vegetable tastings and food demonstrations</w:t>
      </w:r>
    </w:p>
    <w:p w:rsidR="00DD2E6F" w:rsidRDefault="00DD2E6F" w:rsidP="00DD2E6F">
      <w:pPr>
        <w:pStyle w:val="NoSpacing"/>
        <w:numPr>
          <w:ilvl w:val="0"/>
          <w:numId w:val="3"/>
        </w:numPr>
        <w:rPr>
          <w:sz w:val="20"/>
          <w:szCs w:val="20"/>
        </w:rPr>
      </w:pPr>
      <w:r w:rsidRPr="00DD2E6F">
        <w:rPr>
          <w:sz w:val="20"/>
          <w:szCs w:val="20"/>
        </w:rPr>
        <w:t>Family stories for students to take home</w:t>
      </w:r>
    </w:p>
    <w:p w:rsidR="00CE14D3" w:rsidRPr="00B209F4" w:rsidRDefault="00CE14D3" w:rsidP="00DD2E6F">
      <w:pPr>
        <w:pStyle w:val="NoSpacing"/>
        <w:numPr>
          <w:ilvl w:val="0"/>
          <w:numId w:val="3"/>
        </w:numPr>
        <w:rPr>
          <w:sz w:val="20"/>
          <w:szCs w:val="20"/>
        </w:rPr>
      </w:pPr>
      <w:r w:rsidRPr="00B209F4">
        <w:rPr>
          <w:sz w:val="20"/>
          <w:szCs w:val="20"/>
        </w:rPr>
        <w:t xml:space="preserve">Option for the students to become </w:t>
      </w:r>
      <w:r w:rsidR="00F47627" w:rsidRPr="00B209F4">
        <w:rPr>
          <w:sz w:val="20"/>
          <w:szCs w:val="20"/>
        </w:rPr>
        <w:t>L</w:t>
      </w:r>
      <w:r w:rsidR="009C2511" w:rsidRPr="00B209F4">
        <w:rPr>
          <w:sz w:val="20"/>
          <w:szCs w:val="20"/>
        </w:rPr>
        <w:t>GEG</w:t>
      </w:r>
      <w:r w:rsidRPr="00B209F4">
        <w:rPr>
          <w:sz w:val="20"/>
          <w:szCs w:val="20"/>
        </w:rPr>
        <w:t xml:space="preserve"> certified</w:t>
      </w:r>
      <w:r w:rsidR="00B209F4">
        <w:rPr>
          <w:sz w:val="20"/>
          <w:szCs w:val="20"/>
        </w:rPr>
        <w:t xml:space="preserve"> through the JMG program</w:t>
      </w:r>
    </w:p>
    <w:p w:rsidR="00BF1E49" w:rsidRDefault="00BF1E49" w:rsidP="0006379E">
      <w:pPr>
        <w:pStyle w:val="NoSpacing"/>
        <w:numPr>
          <w:ilvl w:val="0"/>
          <w:numId w:val="4"/>
        </w:numPr>
        <w:rPr>
          <w:sz w:val="20"/>
          <w:szCs w:val="20"/>
        </w:rPr>
      </w:pPr>
      <w:r>
        <w:rPr>
          <w:sz w:val="20"/>
          <w:szCs w:val="20"/>
        </w:rPr>
        <w:t xml:space="preserve">Opportunities for </w:t>
      </w:r>
      <w:r w:rsidR="009B1B08">
        <w:rPr>
          <w:sz w:val="20"/>
          <w:szCs w:val="20"/>
        </w:rPr>
        <w:t>“Growing Strong” section</w:t>
      </w:r>
    </w:p>
    <w:p w:rsidR="009B1B08" w:rsidRDefault="009B1B08" w:rsidP="009B1B08">
      <w:pPr>
        <w:pStyle w:val="NoSpacing"/>
        <w:numPr>
          <w:ilvl w:val="1"/>
          <w:numId w:val="4"/>
        </w:numPr>
        <w:rPr>
          <w:sz w:val="20"/>
          <w:szCs w:val="20"/>
        </w:rPr>
      </w:pPr>
      <w:r>
        <w:rPr>
          <w:sz w:val="20"/>
          <w:szCs w:val="20"/>
        </w:rPr>
        <w:t>Walk Across Texas online team enrollment</w:t>
      </w:r>
    </w:p>
    <w:p w:rsidR="00CE14D3" w:rsidRPr="0006379E" w:rsidRDefault="00CE14D3" w:rsidP="009B1B08">
      <w:pPr>
        <w:pStyle w:val="NoSpacing"/>
        <w:numPr>
          <w:ilvl w:val="1"/>
          <w:numId w:val="4"/>
        </w:numPr>
        <w:rPr>
          <w:sz w:val="20"/>
          <w:szCs w:val="20"/>
        </w:rPr>
      </w:pPr>
      <w:r w:rsidRPr="0006379E">
        <w:rPr>
          <w:sz w:val="20"/>
          <w:szCs w:val="20"/>
        </w:rPr>
        <w:t>Family</w:t>
      </w:r>
      <w:r w:rsidR="00BF1E49">
        <w:rPr>
          <w:sz w:val="20"/>
          <w:szCs w:val="20"/>
        </w:rPr>
        <w:t xml:space="preserve"> physical activity</w:t>
      </w:r>
      <w:r w:rsidRPr="0006379E">
        <w:rPr>
          <w:sz w:val="20"/>
          <w:szCs w:val="20"/>
        </w:rPr>
        <w:t xml:space="preserve"> newsletters</w:t>
      </w:r>
    </w:p>
    <w:p w:rsidR="00CE14D3" w:rsidRPr="0006379E" w:rsidRDefault="00CE14D3" w:rsidP="009B1B08">
      <w:pPr>
        <w:pStyle w:val="NoSpacing"/>
        <w:numPr>
          <w:ilvl w:val="1"/>
          <w:numId w:val="4"/>
        </w:numPr>
        <w:rPr>
          <w:sz w:val="20"/>
          <w:szCs w:val="20"/>
        </w:rPr>
      </w:pPr>
      <w:r w:rsidRPr="0006379E">
        <w:rPr>
          <w:sz w:val="20"/>
          <w:szCs w:val="20"/>
        </w:rPr>
        <w:t>Family</w:t>
      </w:r>
      <w:r w:rsidR="00BF1E49">
        <w:rPr>
          <w:sz w:val="20"/>
          <w:szCs w:val="20"/>
        </w:rPr>
        <w:t xml:space="preserve"> physical activity</w:t>
      </w:r>
      <w:r w:rsidRPr="0006379E">
        <w:rPr>
          <w:sz w:val="20"/>
          <w:szCs w:val="20"/>
        </w:rPr>
        <w:t xml:space="preserve"> bonus miles</w:t>
      </w:r>
    </w:p>
    <w:p w:rsidR="00CE14D3" w:rsidRPr="0006379E" w:rsidRDefault="00BF1E49" w:rsidP="009B1B08">
      <w:pPr>
        <w:pStyle w:val="NoSpacing"/>
        <w:numPr>
          <w:ilvl w:val="1"/>
          <w:numId w:val="4"/>
        </w:numPr>
        <w:rPr>
          <w:sz w:val="20"/>
          <w:szCs w:val="20"/>
        </w:rPr>
      </w:pPr>
      <w:r>
        <w:rPr>
          <w:sz w:val="20"/>
          <w:szCs w:val="20"/>
        </w:rPr>
        <w:t>Physical activity w</w:t>
      </w:r>
      <w:r w:rsidR="00CE14D3" w:rsidRPr="0006379E">
        <w:rPr>
          <w:sz w:val="20"/>
          <w:szCs w:val="20"/>
        </w:rPr>
        <w:t xml:space="preserve">alking BINGO </w:t>
      </w:r>
    </w:p>
    <w:p w:rsidR="00CE14D3" w:rsidRPr="0006379E" w:rsidRDefault="00CE14D3" w:rsidP="009B1B08">
      <w:pPr>
        <w:pStyle w:val="NoSpacing"/>
        <w:numPr>
          <w:ilvl w:val="1"/>
          <w:numId w:val="4"/>
        </w:numPr>
        <w:rPr>
          <w:sz w:val="20"/>
          <w:szCs w:val="20"/>
        </w:rPr>
      </w:pPr>
      <w:r w:rsidRPr="0006379E">
        <w:rPr>
          <w:sz w:val="20"/>
          <w:szCs w:val="20"/>
        </w:rPr>
        <w:t>Classroom “</w:t>
      </w:r>
      <w:r w:rsidR="00BF1E49">
        <w:rPr>
          <w:sz w:val="20"/>
          <w:szCs w:val="20"/>
        </w:rPr>
        <w:t xml:space="preserve">physical </w:t>
      </w:r>
      <w:r w:rsidRPr="0006379E">
        <w:rPr>
          <w:sz w:val="20"/>
          <w:szCs w:val="20"/>
        </w:rPr>
        <w:t>activity brea</w:t>
      </w:r>
      <w:r w:rsidR="00B81CEB">
        <w:rPr>
          <w:sz w:val="20"/>
          <w:szCs w:val="20"/>
        </w:rPr>
        <w:t>ks” related to school subjects</w:t>
      </w:r>
    </w:p>
    <w:p w:rsidR="00CE14D3" w:rsidRPr="0006379E" w:rsidRDefault="00CE14D3" w:rsidP="0006379E">
      <w:pPr>
        <w:pStyle w:val="NoSpacing"/>
        <w:rPr>
          <w:sz w:val="20"/>
          <w:szCs w:val="20"/>
        </w:rPr>
      </w:pPr>
    </w:p>
    <w:p w:rsidR="00CE14D3" w:rsidRPr="0006379E" w:rsidRDefault="00CE14D3" w:rsidP="0006379E">
      <w:pPr>
        <w:pStyle w:val="NoSpacing"/>
        <w:rPr>
          <w:b/>
          <w:sz w:val="20"/>
          <w:szCs w:val="20"/>
        </w:rPr>
      </w:pPr>
      <w:r w:rsidRPr="00F710DF">
        <w:rPr>
          <w:b/>
          <w:color w:val="632423" w:themeColor="accent2" w:themeShade="80"/>
          <w:szCs w:val="20"/>
        </w:rPr>
        <w:t>Train-the-Trainer</w:t>
      </w:r>
    </w:p>
    <w:p w:rsidR="00F2080E" w:rsidRPr="0006379E" w:rsidRDefault="00477CBA" w:rsidP="0006379E">
      <w:pPr>
        <w:pStyle w:val="NoSpacing"/>
        <w:rPr>
          <w:sz w:val="20"/>
          <w:szCs w:val="20"/>
        </w:rPr>
      </w:pPr>
      <w:r w:rsidRPr="0006379E">
        <w:rPr>
          <w:sz w:val="20"/>
          <w:szCs w:val="20"/>
        </w:rPr>
        <w:t>Local county agents partner with school districts</w:t>
      </w:r>
      <w:r w:rsidR="000A42F1">
        <w:rPr>
          <w:sz w:val="20"/>
          <w:szCs w:val="20"/>
        </w:rPr>
        <w:t xml:space="preserve">, SHAC’s, </w:t>
      </w:r>
      <w:r w:rsidRPr="0006379E">
        <w:rPr>
          <w:sz w:val="20"/>
          <w:szCs w:val="20"/>
        </w:rPr>
        <w:t>elementary schools, afterschool centers, or summer program</w:t>
      </w:r>
      <w:r w:rsidR="006704A6">
        <w:rPr>
          <w:sz w:val="20"/>
          <w:szCs w:val="20"/>
        </w:rPr>
        <w:t>s</w:t>
      </w:r>
      <w:r w:rsidRPr="0006379E">
        <w:rPr>
          <w:sz w:val="20"/>
          <w:szCs w:val="20"/>
        </w:rPr>
        <w:t xml:space="preserve"> to </w:t>
      </w:r>
      <w:r w:rsidR="00CE14D3" w:rsidRPr="0006379E">
        <w:rPr>
          <w:sz w:val="20"/>
          <w:szCs w:val="20"/>
        </w:rPr>
        <w:t xml:space="preserve">train teachers, school staff, and center staff on how-to </w:t>
      </w:r>
      <w:r w:rsidRPr="0006379E">
        <w:rPr>
          <w:sz w:val="20"/>
          <w:szCs w:val="20"/>
        </w:rPr>
        <w:t xml:space="preserve">implement three programs - Coordinated Approach to Child Health (CATCH), Junior Master Gardener’s (JMG) revised curriculum – </w:t>
      </w:r>
      <w:r w:rsidR="000B434E">
        <w:rPr>
          <w:sz w:val="20"/>
          <w:szCs w:val="20"/>
        </w:rPr>
        <w:t xml:space="preserve">Learn, Grow, Eat &amp; GO! </w:t>
      </w:r>
      <w:proofErr w:type="gramStart"/>
      <w:r w:rsidRPr="0006379E">
        <w:rPr>
          <w:sz w:val="20"/>
          <w:szCs w:val="20"/>
        </w:rPr>
        <w:t>and</w:t>
      </w:r>
      <w:proofErr w:type="gramEnd"/>
      <w:r w:rsidRPr="0006379E">
        <w:rPr>
          <w:sz w:val="20"/>
          <w:szCs w:val="20"/>
        </w:rPr>
        <w:t xml:space="preserve"> Walk Across Texas (WAT). </w:t>
      </w:r>
    </w:p>
    <w:p w:rsidR="00477CBA" w:rsidRPr="0006379E" w:rsidRDefault="00477CBA" w:rsidP="0006379E">
      <w:pPr>
        <w:pStyle w:val="NoSpacing"/>
        <w:rPr>
          <w:sz w:val="20"/>
          <w:szCs w:val="20"/>
        </w:rPr>
      </w:pPr>
    </w:p>
    <w:p w:rsidR="00F2080E" w:rsidRPr="00F710DF" w:rsidRDefault="00477CBA" w:rsidP="0006379E">
      <w:pPr>
        <w:pStyle w:val="NoSpacing"/>
        <w:rPr>
          <w:b/>
          <w:color w:val="632423" w:themeColor="accent2" w:themeShade="80"/>
          <w:szCs w:val="20"/>
        </w:rPr>
      </w:pPr>
      <w:r w:rsidRPr="00F710DF">
        <w:rPr>
          <w:b/>
          <w:color w:val="632423" w:themeColor="accent2" w:themeShade="80"/>
          <w:szCs w:val="20"/>
        </w:rPr>
        <w:t>Utilizing Volunteers</w:t>
      </w:r>
    </w:p>
    <w:p w:rsidR="00F2080E" w:rsidRPr="0006379E" w:rsidRDefault="0006379E" w:rsidP="0006379E">
      <w:pPr>
        <w:pStyle w:val="NoSpacing"/>
        <w:rPr>
          <w:sz w:val="20"/>
          <w:szCs w:val="20"/>
        </w:rPr>
      </w:pPr>
      <w:r w:rsidRPr="0006379E">
        <w:rPr>
          <w:color w:val="000000"/>
          <w:sz w:val="20"/>
          <w:szCs w:val="20"/>
        </w:rPr>
        <w:t xml:space="preserve">Volunteers and program partners may be recruited and utilized to help implement the </w:t>
      </w:r>
      <w:r w:rsidR="000B434E">
        <w:rPr>
          <w:sz w:val="20"/>
          <w:szCs w:val="20"/>
        </w:rPr>
        <w:t xml:space="preserve">Learn, Grow, </w:t>
      </w:r>
      <w:proofErr w:type="gramStart"/>
      <w:r w:rsidR="000B434E">
        <w:rPr>
          <w:sz w:val="20"/>
          <w:szCs w:val="20"/>
        </w:rPr>
        <w:t>Eat</w:t>
      </w:r>
      <w:proofErr w:type="gramEnd"/>
      <w:r w:rsidR="000B434E">
        <w:rPr>
          <w:sz w:val="20"/>
          <w:szCs w:val="20"/>
        </w:rPr>
        <w:t xml:space="preserve"> &amp; GO! </w:t>
      </w:r>
      <w:proofErr w:type="gramStart"/>
      <w:r w:rsidRPr="0006379E">
        <w:rPr>
          <w:color w:val="000000"/>
          <w:sz w:val="20"/>
          <w:szCs w:val="20"/>
        </w:rPr>
        <w:t>program</w:t>
      </w:r>
      <w:proofErr w:type="gramEnd"/>
      <w:r w:rsidRPr="0006379E">
        <w:rPr>
          <w:color w:val="000000"/>
          <w:sz w:val="20"/>
          <w:szCs w:val="20"/>
        </w:rPr>
        <w:t xml:space="preserve">. Partners may help provide incentives or educational programs, and volunteers may be utilized to assist with programming and implementation. </w:t>
      </w:r>
      <w:r w:rsidR="00CE14D3" w:rsidRPr="0006379E">
        <w:rPr>
          <w:sz w:val="20"/>
          <w:szCs w:val="20"/>
        </w:rPr>
        <w:t>Extension volunteer groups, like Master Gardeners and Master Wellness Volunteers, as well as school volunteers, can be</w:t>
      </w:r>
      <w:r w:rsidRPr="0006379E">
        <w:rPr>
          <w:sz w:val="20"/>
          <w:szCs w:val="20"/>
        </w:rPr>
        <w:t xml:space="preserve"> trained and</w:t>
      </w:r>
      <w:r w:rsidR="00CE14D3" w:rsidRPr="0006379E">
        <w:rPr>
          <w:sz w:val="20"/>
          <w:szCs w:val="20"/>
        </w:rPr>
        <w:t xml:space="preserve"> utilized for assisting with school gardens, food demonstrations, and curriculum activities. </w:t>
      </w:r>
    </w:p>
    <w:p w:rsidR="00F2080E" w:rsidRPr="0006379E" w:rsidRDefault="00F2080E" w:rsidP="0006379E">
      <w:pPr>
        <w:pStyle w:val="NoSpacing"/>
        <w:rPr>
          <w:sz w:val="20"/>
          <w:szCs w:val="20"/>
        </w:rPr>
      </w:pPr>
    </w:p>
    <w:p w:rsidR="005C7446" w:rsidRDefault="005C7446" w:rsidP="0006379E">
      <w:pPr>
        <w:pStyle w:val="NoSpacing"/>
        <w:rPr>
          <w:b/>
          <w:color w:val="632423" w:themeColor="accent2" w:themeShade="80"/>
          <w:szCs w:val="20"/>
        </w:rPr>
      </w:pPr>
      <w:r>
        <w:rPr>
          <w:b/>
          <w:color w:val="632423" w:themeColor="accent2" w:themeShade="80"/>
          <w:szCs w:val="20"/>
        </w:rPr>
        <w:t>Program Costs</w:t>
      </w:r>
    </w:p>
    <w:p w:rsidR="005C7446" w:rsidRDefault="005C7446" w:rsidP="0006379E">
      <w:pPr>
        <w:pStyle w:val="NoSpacing"/>
        <w:rPr>
          <w:sz w:val="20"/>
          <w:szCs w:val="20"/>
        </w:rPr>
      </w:pPr>
      <w:r w:rsidRPr="0087358A">
        <w:rPr>
          <w:sz w:val="20"/>
          <w:szCs w:val="20"/>
        </w:rPr>
        <w:t>Sites choosing to implement the LGEG program should note that due to the highly engaging food demonstrations and garden activities there are costs associated with program. Examples of costs and estimates are shown below. These costs can vary based on available resources in each county</w:t>
      </w:r>
      <w:r w:rsidR="0087358A">
        <w:rPr>
          <w:sz w:val="20"/>
          <w:szCs w:val="20"/>
        </w:rPr>
        <w:t>.</w:t>
      </w:r>
    </w:p>
    <w:p w:rsidR="00DD2E6F" w:rsidRPr="0087358A" w:rsidRDefault="00DD2E6F" w:rsidP="0006379E">
      <w:pPr>
        <w:pStyle w:val="NoSpacing"/>
        <w:rPr>
          <w:sz w:val="20"/>
          <w:szCs w:val="20"/>
        </w:rPr>
      </w:pPr>
    </w:p>
    <w:p w:rsidR="005C7446" w:rsidRDefault="005C7446" w:rsidP="0006379E">
      <w:pPr>
        <w:pStyle w:val="NoSpacing"/>
        <w:rPr>
          <w:b/>
          <w:color w:val="632423" w:themeColor="accent2" w:themeShade="80"/>
          <w:szCs w:val="20"/>
        </w:rPr>
      </w:pPr>
    </w:p>
    <w:tbl>
      <w:tblPr>
        <w:tblStyle w:val="TableGrid"/>
        <w:tblW w:w="0" w:type="auto"/>
        <w:tblInd w:w="108" w:type="dxa"/>
        <w:tblLook w:val="04A0" w:firstRow="1" w:lastRow="0" w:firstColumn="1" w:lastColumn="0" w:noHBand="0" w:noVBand="1"/>
      </w:tblPr>
      <w:tblGrid>
        <w:gridCol w:w="3870"/>
        <w:gridCol w:w="990"/>
      </w:tblGrid>
      <w:tr w:rsidR="0087358A" w:rsidTr="001749A1">
        <w:tc>
          <w:tcPr>
            <w:tcW w:w="4860" w:type="dxa"/>
            <w:gridSpan w:val="2"/>
          </w:tcPr>
          <w:p w:rsidR="0087358A" w:rsidRPr="0087358A" w:rsidRDefault="0087358A" w:rsidP="004240EC">
            <w:pPr>
              <w:pStyle w:val="NoSpacing"/>
              <w:jc w:val="center"/>
              <w:rPr>
                <w:b/>
                <w:i/>
                <w:sz w:val="20"/>
                <w:szCs w:val="20"/>
              </w:rPr>
            </w:pPr>
            <w:r w:rsidRPr="0087358A">
              <w:rPr>
                <w:b/>
                <w:i/>
                <w:sz w:val="20"/>
                <w:szCs w:val="20"/>
              </w:rPr>
              <w:lastRenderedPageBreak/>
              <w:t>Estimated costs for 1 classroom with 2</w:t>
            </w:r>
            <w:r w:rsidR="004240EC">
              <w:rPr>
                <w:b/>
                <w:i/>
                <w:sz w:val="20"/>
                <w:szCs w:val="20"/>
              </w:rPr>
              <w:t>5</w:t>
            </w:r>
            <w:r w:rsidRPr="0087358A">
              <w:rPr>
                <w:b/>
                <w:i/>
                <w:sz w:val="20"/>
                <w:szCs w:val="20"/>
              </w:rPr>
              <w:t xml:space="preserve"> students</w:t>
            </w:r>
          </w:p>
        </w:tc>
      </w:tr>
      <w:tr w:rsidR="005C7446" w:rsidTr="00245AB5">
        <w:tc>
          <w:tcPr>
            <w:tcW w:w="3870" w:type="dxa"/>
          </w:tcPr>
          <w:p w:rsidR="005C7446" w:rsidRPr="0087358A" w:rsidRDefault="005C7446" w:rsidP="0006379E">
            <w:pPr>
              <w:pStyle w:val="NoSpacing"/>
              <w:rPr>
                <w:sz w:val="20"/>
                <w:szCs w:val="20"/>
              </w:rPr>
            </w:pPr>
            <w:r w:rsidRPr="0087358A">
              <w:rPr>
                <w:sz w:val="20"/>
                <w:szCs w:val="20"/>
              </w:rPr>
              <w:t>Garden for 1 Fall or Spring Season</w:t>
            </w:r>
          </w:p>
        </w:tc>
        <w:tc>
          <w:tcPr>
            <w:tcW w:w="990" w:type="dxa"/>
          </w:tcPr>
          <w:p w:rsidR="005C7446" w:rsidRPr="0087358A" w:rsidRDefault="0087358A" w:rsidP="0006379E">
            <w:pPr>
              <w:pStyle w:val="NoSpacing"/>
              <w:rPr>
                <w:sz w:val="20"/>
                <w:szCs w:val="20"/>
              </w:rPr>
            </w:pPr>
            <w:r w:rsidRPr="0087358A">
              <w:rPr>
                <w:sz w:val="20"/>
                <w:szCs w:val="20"/>
              </w:rPr>
              <w:t>$150</w:t>
            </w:r>
          </w:p>
        </w:tc>
      </w:tr>
      <w:tr w:rsidR="005C7446" w:rsidTr="00245AB5">
        <w:tc>
          <w:tcPr>
            <w:tcW w:w="3870" w:type="dxa"/>
          </w:tcPr>
          <w:p w:rsidR="005C7446" w:rsidRPr="0087358A" w:rsidRDefault="0087358A" w:rsidP="0006379E">
            <w:pPr>
              <w:pStyle w:val="NoSpacing"/>
              <w:rPr>
                <w:sz w:val="20"/>
                <w:szCs w:val="20"/>
              </w:rPr>
            </w:pPr>
            <w:r w:rsidRPr="0087358A">
              <w:rPr>
                <w:sz w:val="20"/>
                <w:szCs w:val="20"/>
              </w:rPr>
              <w:t>Supplies for 6 food demonstrations and tastings</w:t>
            </w:r>
          </w:p>
        </w:tc>
        <w:tc>
          <w:tcPr>
            <w:tcW w:w="990" w:type="dxa"/>
          </w:tcPr>
          <w:p w:rsidR="005C7446" w:rsidRPr="0087358A" w:rsidRDefault="0087358A" w:rsidP="0006379E">
            <w:pPr>
              <w:pStyle w:val="NoSpacing"/>
              <w:rPr>
                <w:sz w:val="20"/>
                <w:szCs w:val="20"/>
              </w:rPr>
            </w:pPr>
            <w:r w:rsidRPr="0087358A">
              <w:rPr>
                <w:sz w:val="20"/>
                <w:szCs w:val="20"/>
              </w:rPr>
              <w:t>$100</w:t>
            </w:r>
          </w:p>
        </w:tc>
      </w:tr>
      <w:tr w:rsidR="005C7446" w:rsidTr="00245AB5">
        <w:tc>
          <w:tcPr>
            <w:tcW w:w="3870" w:type="dxa"/>
          </w:tcPr>
          <w:p w:rsidR="005C7446" w:rsidRPr="0087358A" w:rsidRDefault="0087358A" w:rsidP="0006379E">
            <w:pPr>
              <w:pStyle w:val="NoSpacing"/>
              <w:rPr>
                <w:sz w:val="20"/>
                <w:szCs w:val="20"/>
              </w:rPr>
            </w:pPr>
            <w:r w:rsidRPr="0087358A">
              <w:rPr>
                <w:sz w:val="20"/>
                <w:szCs w:val="20"/>
              </w:rPr>
              <w:t>Cost for providing a kit of supplies for LGEG and WAT</w:t>
            </w:r>
          </w:p>
        </w:tc>
        <w:tc>
          <w:tcPr>
            <w:tcW w:w="990" w:type="dxa"/>
          </w:tcPr>
          <w:p w:rsidR="005C7446" w:rsidRPr="0087358A" w:rsidRDefault="0087358A" w:rsidP="0006379E">
            <w:pPr>
              <w:pStyle w:val="NoSpacing"/>
              <w:rPr>
                <w:sz w:val="20"/>
                <w:szCs w:val="20"/>
              </w:rPr>
            </w:pPr>
            <w:r w:rsidRPr="0087358A">
              <w:rPr>
                <w:sz w:val="20"/>
                <w:szCs w:val="20"/>
              </w:rPr>
              <w:t>$200</w:t>
            </w:r>
          </w:p>
        </w:tc>
      </w:tr>
    </w:tbl>
    <w:p w:rsidR="005C7446" w:rsidRDefault="005C7446" w:rsidP="0006379E">
      <w:pPr>
        <w:pStyle w:val="NoSpacing"/>
        <w:rPr>
          <w:b/>
          <w:color w:val="632423" w:themeColor="accent2" w:themeShade="80"/>
          <w:szCs w:val="20"/>
        </w:rPr>
      </w:pPr>
    </w:p>
    <w:p w:rsidR="005C7446" w:rsidRPr="0087358A" w:rsidRDefault="0087358A" w:rsidP="0006379E">
      <w:pPr>
        <w:pStyle w:val="NoSpacing"/>
        <w:rPr>
          <w:sz w:val="20"/>
          <w:szCs w:val="20"/>
        </w:rPr>
      </w:pPr>
      <w:r w:rsidRPr="0087358A">
        <w:rPr>
          <w:sz w:val="20"/>
          <w:szCs w:val="20"/>
        </w:rPr>
        <w:t>There are a variety of options for funding the program:</w:t>
      </w:r>
    </w:p>
    <w:p w:rsidR="0087358A" w:rsidRPr="0087358A" w:rsidRDefault="0087358A" w:rsidP="0087358A">
      <w:pPr>
        <w:pStyle w:val="NoSpacing"/>
        <w:numPr>
          <w:ilvl w:val="0"/>
          <w:numId w:val="4"/>
        </w:numPr>
        <w:rPr>
          <w:sz w:val="20"/>
          <w:szCs w:val="20"/>
        </w:rPr>
      </w:pPr>
      <w:r w:rsidRPr="0087358A">
        <w:rPr>
          <w:sz w:val="20"/>
          <w:szCs w:val="20"/>
        </w:rPr>
        <w:t>Local grants and sponsors</w:t>
      </w:r>
    </w:p>
    <w:p w:rsidR="0087358A" w:rsidRPr="0087358A" w:rsidRDefault="0087358A" w:rsidP="0087358A">
      <w:pPr>
        <w:pStyle w:val="NoSpacing"/>
        <w:numPr>
          <w:ilvl w:val="0"/>
          <w:numId w:val="4"/>
        </w:numPr>
        <w:rPr>
          <w:sz w:val="20"/>
          <w:szCs w:val="20"/>
        </w:rPr>
      </w:pPr>
      <w:r w:rsidRPr="0087358A">
        <w:rPr>
          <w:sz w:val="20"/>
          <w:szCs w:val="20"/>
        </w:rPr>
        <w:t>School curriculum budgets</w:t>
      </w:r>
    </w:p>
    <w:p w:rsidR="0087358A" w:rsidRPr="0087358A" w:rsidRDefault="0087358A" w:rsidP="0087358A">
      <w:pPr>
        <w:pStyle w:val="NoSpacing"/>
        <w:numPr>
          <w:ilvl w:val="0"/>
          <w:numId w:val="4"/>
        </w:numPr>
        <w:rPr>
          <w:sz w:val="20"/>
          <w:szCs w:val="20"/>
        </w:rPr>
      </w:pPr>
      <w:r w:rsidRPr="0087358A">
        <w:rPr>
          <w:sz w:val="20"/>
          <w:szCs w:val="20"/>
        </w:rPr>
        <w:t>PTA or PTO</w:t>
      </w:r>
    </w:p>
    <w:p w:rsidR="0087358A" w:rsidRDefault="0087358A" w:rsidP="0087358A">
      <w:pPr>
        <w:pStyle w:val="NoSpacing"/>
        <w:numPr>
          <w:ilvl w:val="0"/>
          <w:numId w:val="4"/>
        </w:numPr>
        <w:rPr>
          <w:sz w:val="20"/>
          <w:szCs w:val="20"/>
        </w:rPr>
      </w:pPr>
      <w:r w:rsidRPr="0087358A">
        <w:rPr>
          <w:sz w:val="20"/>
          <w:szCs w:val="20"/>
        </w:rPr>
        <w:t xml:space="preserve">Etc. </w:t>
      </w:r>
    </w:p>
    <w:p w:rsidR="00B209F4" w:rsidRPr="0087358A" w:rsidRDefault="00B209F4" w:rsidP="00B209F4">
      <w:pPr>
        <w:pStyle w:val="NoSpacing"/>
        <w:ind w:left="720"/>
        <w:rPr>
          <w:sz w:val="20"/>
          <w:szCs w:val="20"/>
        </w:rPr>
      </w:pPr>
    </w:p>
    <w:p w:rsidR="00F2080E" w:rsidRPr="00F710DF" w:rsidRDefault="00F2080E" w:rsidP="0006379E">
      <w:pPr>
        <w:pStyle w:val="NoSpacing"/>
        <w:rPr>
          <w:b/>
          <w:color w:val="632423" w:themeColor="accent2" w:themeShade="80"/>
          <w:szCs w:val="20"/>
        </w:rPr>
      </w:pPr>
      <w:r w:rsidRPr="00F710DF">
        <w:rPr>
          <w:b/>
          <w:color w:val="632423" w:themeColor="accent2" w:themeShade="80"/>
          <w:szCs w:val="20"/>
        </w:rPr>
        <w:t xml:space="preserve">Agent Training </w:t>
      </w:r>
    </w:p>
    <w:p w:rsidR="00F2080E" w:rsidRDefault="009B1B08" w:rsidP="0006379E">
      <w:pPr>
        <w:pStyle w:val="NoSpacing"/>
        <w:rPr>
          <w:color w:val="000000"/>
          <w:sz w:val="20"/>
          <w:szCs w:val="20"/>
        </w:rPr>
      </w:pPr>
      <w:r>
        <w:rPr>
          <w:color w:val="000000"/>
          <w:sz w:val="20"/>
          <w:szCs w:val="20"/>
        </w:rPr>
        <w:t xml:space="preserve">LGEG training webinars will be offered and recorded. </w:t>
      </w:r>
      <w:r w:rsidR="00CE14D3" w:rsidRPr="0006379E">
        <w:rPr>
          <w:color w:val="000000"/>
          <w:sz w:val="20"/>
          <w:szCs w:val="20"/>
        </w:rPr>
        <w:t>Agents are</w:t>
      </w:r>
      <w:r>
        <w:rPr>
          <w:color w:val="000000"/>
          <w:sz w:val="20"/>
          <w:szCs w:val="20"/>
        </w:rPr>
        <w:t xml:space="preserve"> also</w:t>
      </w:r>
      <w:r w:rsidR="00CE14D3" w:rsidRPr="0006379E">
        <w:rPr>
          <w:color w:val="000000"/>
          <w:sz w:val="20"/>
          <w:szCs w:val="20"/>
        </w:rPr>
        <w:t xml:space="preserve"> able to view a series of videos highlighting the 10 concepts, how the curriculum supports TEKS and STAAR, how the project is applicable for BLT match, utilizing volunteers, and using Walk </w:t>
      </w:r>
      <w:proofErr w:type="gramStart"/>
      <w:r w:rsidR="00CE14D3" w:rsidRPr="0006379E">
        <w:rPr>
          <w:color w:val="000000"/>
          <w:sz w:val="20"/>
          <w:szCs w:val="20"/>
        </w:rPr>
        <w:t>Across</w:t>
      </w:r>
      <w:proofErr w:type="gramEnd"/>
      <w:r w:rsidR="00CE14D3" w:rsidRPr="0006379E">
        <w:rPr>
          <w:color w:val="000000"/>
          <w:sz w:val="20"/>
          <w:szCs w:val="20"/>
        </w:rPr>
        <w:t xml:space="preserve"> Texas. </w:t>
      </w:r>
      <w:r w:rsidR="0006379E" w:rsidRPr="0006379E">
        <w:rPr>
          <w:color w:val="000000"/>
          <w:sz w:val="20"/>
          <w:szCs w:val="20"/>
        </w:rPr>
        <w:t xml:space="preserve">In </w:t>
      </w:r>
      <w:r w:rsidR="0006379E" w:rsidRPr="004240EC">
        <w:rPr>
          <w:color w:val="000000"/>
          <w:sz w:val="20"/>
          <w:szCs w:val="20"/>
        </w:rPr>
        <w:lastRenderedPageBreak/>
        <w:t>addition the website has access to resources and curriculum copies. Please contact the point of contact for more information on accessing the website, including the updated link.</w:t>
      </w:r>
    </w:p>
    <w:p w:rsidR="009B1B08" w:rsidRDefault="009B1B08" w:rsidP="0006379E">
      <w:pPr>
        <w:pStyle w:val="NoSpacing"/>
        <w:rPr>
          <w:b/>
          <w:color w:val="632423" w:themeColor="accent2" w:themeShade="80"/>
          <w:szCs w:val="20"/>
        </w:rPr>
      </w:pPr>
    </w:p>
    <w:p w:rsidR="00F2080E" w:rsidRPr="00F710DF" w:rsidRDefault="00F2080E" w:rsidP="0006379E">
      <w:pPr>
        <w:pStyle w:val="NoSpacing"/>
        <w:rPr>
          <w:b/>
          <w:color w:val="632423" w:themeColor="accent2" w:themeShade="80"/>
          <w:szCs w:val="20"/>
        </w:rPr>
      </w:pPr>
      <w:r w:rsidRPr="00F710DF">
        <w:rPr>
          <w:b/>
          <w:color w:val="632423" w:themeColor="accent2" w:themeShade="80"/>
          <w:szCs w:val="20"/>
        </w:rPr>
        <w:t>Agent Planning and Reporting</w:t>
      </w:r>
    </w:p>
    <w:p w:rsidR="00F2080E" w:rsidRPr="0006379E" w:rsidRDefault="00F2080E" w:rsidP="0006379E">
      <w:pPr>
        <w:pStyle w:val="NoSpacing"/>
        <w:rPr>
          <w:color w:val="000000"/>
          <w:sz w:val="20"/>
          <w:szCs w:val="20"/>
        </w:rPr>
      </w:pPr>
      <w:r w:rsidRPr="00F47627">
        <w:rPr>
          <w:color w:val="000000"/>
          <w:sz w:val="20"/>
          <w:szCs w:val="20"/>
        </w:rPr>
        <w:t>A</w:t>
      </w:r>
      <w:r w:rsidR="0006379E" w:rsidRPr="00F47627">
        <w:rPr>
          <w:color w:val="000000"/>
          <w:sz w:val="20"/>
          <w:szCs w:val="20"/>
        </w:rPr>
        <w:t xml:space="preserve"> </w:t>
      </w:r>
      <w:r w:rsidR="008E51E2">
        <w:rPr>
          <w:color w:val="000000"/>
          <w:sz w:val="20"/>
          <w:szCs w:val="20"/>
        </w:rPr>
        <w:t>Texas</w:t>
      </w:r>
      <w:r w:rsidR="0006379E" w:rsidRPr="00F47627">
        <w:rPr>
          <w:color w:val="000000"/>
          <w:sz w:val="20"/>
          <w:szCs w:val="20"/>
        </w:rPr>
        <w:t xml:space="preserve"> program template is</w:t>
      </w:r>
      <w:r w:rsidRPr="00F47627">
        <w:rPr>
          <w:color w:val="000000"/>
          <w:sz w:val="20"/>
          <w:szCs w:val="20"/>
        </w:rPr>
        <w:t xml:space="preserve"> available for agents</w:t>
      </w:r>
      <w:r w:rsidR="0006379E" w:rsidRPr="00F47627">
        <w:rPr>
          <w:color w:val="000000"/>
          <w:sz w:val="20"/>
          <w:szCs w:val="20"/>
        </w:rPr>
        <w:t>.</w:t>
      </w:r>
      <w:r w:rsidRPr="0006379E">
        <w:rPr>
          <w:color w:val="000000"/>
          <w:sz w:val="20"/>
          <w:szCs w:val="20"/>
        </w:rPr>
        <w:t xml:space="preserve"> </w:t>
      </w:r>
    </w:p>
    <w:p w:rsidR="00F2080E" w:rsidRPr="0006379E" w:rsidRDefault="00F2080E" w:rsidP="0006379E">
      <w:pPr>
        <w:pStyle w:val="NoSpacing"/>
        <w:rPr>
          <w:color w:val="000000"/>
          <w:sz w:val="20"/>
          <w:szCs w:val="20"/>
        </w:rPr>
      </w:pPr>
    </w:p>
    <w:p w:rsidR="00F2080E" w:rsidRPr="00F710DF" w:rsidRDefault="00F2080E" w:rsidP="0006379E">
      <w:pPr>
        <w:pStyle w:val="NoSpacing"/>
        <w:rPr>
          <w:b/>
          <w:color w:val="632423" w:themeColor="accent2" w:themeShade="80"/>
          <w:szCs w:val="20"/>
        </w:rPr>
      </w:pPr>
      <w:r w:rsidRPr="00F710DF">
        <w:rPr>
          <w:b/>
          <w:color w:val="632423" w:themeColor="accent2" w:themeShade="80"/>
          <w:szCs w:val="20"/>
        </w:rPr>
        <w:t>Agent Evaluation</w:t>
      </w:r>
    </w:p>
    <w:p w:rsidR="00F2080E" w:rsidRPr="0006379E" w:rsidRDefault="000B434E" w:rsidP="0006379E">
      <w:pPr>
        <w:pStyle w:val="NoSpacing"/>
        <w:rPr>
          <w:color w:val="000000"/>
          <w:sz w:val="20"/>
          <w:szCs w:val="20"/>
        </w:rPr>
      </w:pPr>
      <w:r>
        <w:rPr>
          <w:sz w:val="20"/>
          <w:szCs w:val="20"/>
        </w:rPr>
        <w:t xml:space="preserve">Learn, Grow, Eat &amp; GO! </w:t>
      </w:r>
      <w:proofErr w:type="gramStart"/>
      <w:r w:rsidR="00F2080E" w:rsidRPr="00F47627">
        <w:rPr>
          <w:color w:val="000000"/>
          <w:sz w:val="20"/>
          <w:szCs w:val="20"/>
        </w:rPr>
        <w:t>has</w:t>
      </w:r>
      <w:proofErr w:type="gramEnd"/>
      <w:r w:rsidR="00F2080E" w:rsidRPr="00F47627">
        <w:rPr>
          <w:color w:val="000000"/>
          <w:sz w:val="20"/>
          <w:szCs w:val="20"/>
        </w:rPr>
        <w:t xml:space="preserve"> an evaluation to support agent efforts as either an outcome or output program. In addition to the evaluation, an outcome summary shell is available.</w:t>
      </w:r>
    </w:p>
    <w:p w:rsidR="00F2080E" w:rsidRPr="0006379E" w:rsidRDefault="00F2080E" w:rsidP="0006379E">
      <w:pPr>
        <w:pStyle w:val="NoSpacing"/>
        <w:rPr>
          <w:color w:val="000000"/>
          <w:sz w:val="20"/>
          <w:szCs w:val="20"/>
        </w:rPr>
      </w:pPr>
    </w:p>
    <w:p w:rsidR="00F2080E" w:rsidRPr="00F710DF" w:rsidRDefault="00F2080E" w:rsidP="0006379E">
      <w:pPr>
        <w:pStyle w:val="NoSpacing"/>
        <w:rPr>
          <w:b/>
          <w:color w:val="632423" w:themeColor="accent2" w:themeShade="80"/>
          <w:szCs w:val="20"/>
        </w:rPr>
      </w:pPr>
      <w:r w:rsidRPr="00F710DF">
        <w:rPr>
          <w:b/>
          <w:color w:val="632423" w:themeColor="accent2" w:themeShade="80"/>
          <w:szCs w:val="20"/>
        </w:rPr>
        <w:t>Point of Contact</w:t>
      </w:r>
    </w:p>
    <w:p w:rsidR="003F75E5" w:rsidRDefault="003F75E5" w:rsidP="00F2080E">
      <w:pPr>
        <w:pStyle w:val="NoSpacing"/>
        <w:rPr>
          <w:color w:val="000000"/>
          <w:sz w:val="20"/>
          <w:szCs w:val="20"/>
        </w:rPr>
      </w:pPr>
      <w:r w:rsidRPr="003F75E5">
        <w:rPr>
          <w:color w:val="000000"/>
          <w:sz w:val="20"/>
          <w:szCs w:val="20"/>
        </w:rPr>
        <w:t>Caren Walton</w:t>
      </w:r>
    </w:p>
    <w:p w:rsidR="006A212F" w:rsidRPr="003F75E5" w:rsidRDefault="006A212F" w:rsidP="00F2080E">
      <w:pPr>
        <w:pStyle w:val="NoSpacing"/>
        <w:rPr>
          <w:color w:val="000000"/>
          <w:sz w:val="20"/>
          <w:szCs w:val="20"/>
        </w:rPr>
      </w:pPr>
      <w:r>
        <w:rPr>
          <w:color w:val="000000"/>
          <w:sz w:val="20"/>
          <w:szCs w:val="20"/>
        </w:rPr>
        <w:t xml:space="preserve">Extension Program Specialist-Junior Master Gardener </w:t>
      </w:r>
    </w:p>
    <w:p w:rsidR="003F75E5" w:rsidRPr="003F75E5" w:rsidRDefault="003F75E5" w:rsidP="00F2080E">
      <w:pPr>
        <w:pStyle w:val="NoSpacing"/>
        <w:rPr>
          <w:color w:val="433C3A"/>
          <w:sz w:val="20"/>
          <w:szCs w:val="20"/>
        </w:rPr>
      </w:pPr>
      <w:r w:rsidRPr="003F75E5">
        <w:rPr>
          <w:sz w:val="20"/>
          <w:szCs w:val="20"/>
        </w:rPr>
        <w:t>(979) 458-4063</w:t>
      </w:r>
    </w:p>
    <w:p w:rsidR="003F75E5" w:rsidRPr="003F75E5" w:rsidRDefault="00996C9B" w:rsidP="00F2080E">
      <w:pPr>
        <w:pStyle w:val="NoSpacing"/>
        <w:rPr>
          <w:color w:val="000000"/>
          <w:sz w:val="20"/>
          <w:szCs w:val="20"/>
        </w:rPr>
        <w:sectPr w:rsidR="003F75E5" w:rsidRPr="003F75E5" w:rsidSect="0087358A">
          <w:type w:val="continuous"/>
          <w:pgSz w:w="12240" w:h="15840"/>
          <w:pgMar w:top="864" w:right="1008" w:bottom="864" w:left="1008" w:header="720" w:footer="720" w:gutter="0"/>
          <w:cols w:num="2" w:space="720"/>
          <w:docGrid w:linePitch="360"/>
        </w:sectPr>
      </w:pPr>
      <w:hyperlink r:id="rId10" w:history="1">
        <w:r w:rsidR="003F75E5" w:rsidRPr="003F75E5">
          <w:rPr>
            <w:rStyle w:val="Hyperlink"/>
            <w:sz w:val="20"/>
            <w:szCs w:val="20"/>
          </w:rPr>
          <w:t>ccwalton@tamu.edu</w:t>
        </w:r>
      </w:hyperlink>
    </w:p>
    <w:p w:rsidR="00F2080E" w:rsidRDefault="00F2080E"/>
    <w:sectPr w:rsidR="00F2080E" w:rsidSect="000637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9B" w:rsidRDefault="00996C9B" w:rsidP="009C65EE">
      <w:pPr>
        <w:spacing w:after="0" w:line="240" w:lineRule="auto"/>
      </w:pPr>
      <w:r>
        <w:separator/>
      </w:r>
    </w:p>
  </w:endnote>
  <w:endnote w:type="continuationSeparator" w:id="0">
    <w:p w:rsidR="00996C9B" w:rsidRDefault="00996C9B" w:rsidP="009C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orbel"/>
    <w:charset w:val="00"/>
    <w:family w:val="auto"/>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9B" w:rsidRDefault="00996C9B" w:rsidP="009C65EE">
      <w:pPr>
        <w:spacing w:after="0" w:line="240" w:lineRule="auto"/>
      </w:pPr>
      <w:r>
        <w:separator/>
      </w:r>
    </w:p>
  </w:footnote>
  <w:footnote w:type="continuationSeparator" w:id="0">
    <w:p w:rsidR="00996C9B" w:rsidRDefault="00996C9B" w:rsidP="009C6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84E"/>
    <w:multiLevelType w:val="hybridMultilevel"/>
    <w:tmpl w:val="3E268240"/>
    <w:lvl w:ilvl="0" w:tplc="2B441DAA">
      <w:numFmt w:val="bullet"/>
      <w:lvlText w:val="-"/>
      <w:lvlJc w:val="left"/>
      <w:pPr>
        <w:ind w:left="720" w:hanging="360"/>
      </w:pPr>
      <w:rPr>
        <w:rFonts w:ascii="Times New Roman" w:eastAsia="Calibr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A31B4"/>
    <w:multiLevelType w:val="hybridMultilevel"/>
    <w:tmpl w:val="656AF37A"/>
    <w:lvl w:ilvl="0" w:tplc="2B441DAA">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343EE"/>
    <w:multiLevelType w:val="hybridMultilevel"/>
    <w:tmpl w:val="7CE26312"/>
    <w:lvl w:ilvl="0" w:tplc="2B441DAA">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159E6"/>
    <w:multiLevelType w:val="hybridMultilevel"/>
    <w:tmpl w:val="24B45BAC"/>
    <w:lvl w:ilvl="0" w:tplc="2B441DAA">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E"/>
    <w:rsid w:val="00043B94"/>
    <w:rsid w:val="0006379E"/>
    <w:rsid w:val="00091182"/>
    <w:rsid w:val="000A42F1"/>
    <w:rsid w:val="000B434E"/>
    <w:rsid w:val="00222694"/>
    <w:rsid w:val="00245AB5"/>
    <w:rsid w:val="002A2A5E"/>
    <w:rsid w:val="002F35BE"/>
    <w:rsid w:val="00316464"/>
    <w:rsid w:val="00387D8A"/>
    <w:rsid w:val="003F75E5"/>
    <w:rsid w:val="00414538"/>
    <w:rsid w:val="004240EC"/>
    <w:rsid w:val="00477CBA"/>
    <w:rsid w:val="005A0A3A"/>
    <w:rsid w:val="005C7446"/>
    <w:rsid w:val="005E5363"/>
    <w:rsid w:val="006704A6"/>
    <w:rsid w:val="006A212F"/>
    <w:rsid w:val="0087358A"/>
    <w:rsid w:val="00890635"/>
    <w:rsid w:val="00894023"/>
    <w:rsid w:val="008E51E2"/>
    <w:rsid w:val="00981E6B"/>
    <w:rsid w:val="00996C9B"/>
    <w:rsid w:val="009B1B08"/>
    <w:rsid w:val="009C2511"/>
    <w:rsid w:val="009C65EE"/>
    <w:rsid w:val="00B209F4"/>
    <w:rsid w:val="00B81CEB"/>
    <w:rsid w:val="00B81E60"/>
    <w:rsid w:val="00BF1E49"/>
    <w:rsid w:val="00CE14D3"/>
    <w:rsid w:val="00D20A98"/>
    <w:rsid w:val="00D35204"/>
    <w:rsid w:val="00DD2E6F"/>
    <w:rsid w:val="00E0157E"/>
    <w:rsid w:val="00E046CC"/>
    <w:rsid w:val="00E46FED"/>
    <w:rsid w:val="00ED4059"/>
    <w:rsid w:val="00F2080E"/>
    <w:rsid w:val="00F44FC2"/>
    <w:rsid w:val="00F47627"/>
    <w:rsid w:val="00F710DF"/>
    <w:rsid w:val="00F8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0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80E"/>
    <w:pPr>
      <w:spacing w:after="0" w:line="240" w:lineRule="auto"/>
    </w:pPr>
    <w:rPr>
      <w:rFonts w:eastAsiaTheme="minorEastAsia" w:cs="Times New Roman"/>
    </w:rPr>
  </w:style>
  <w:style w:type="character" w:styleId="Hyperlink">
    <w:name w:val="Hyperlink"/>
    <w:basedOn w:val="DefaultParagraphFont"/>
    <w:uiPriority w:val="99"/>
    <w:unhideWhenUsed/>
    <w:rsid w:val="00F2080E"/>
    <w:rPr>
      <w:rFonts w:cs="Times New Roman"/>
      <w:color w:val="0000FF" w:themeColor="hyperlink"/>
      <w:u w:val="single"/>
    </w:rPr>
  </w:style>
  <w:style w:type="paragraph" w:styleId="Header">
    <w:name w:val="header"/>
    <w:basedOn w:val="Normal"/>
    <w:link w:val="HeaderChar"/>
    <w:uiPriority w:val="99"/>
    <w:unhideWhenUsed/>
    <w:rsid w:val="009C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5EE"/>
    <w:rPr>
      <w:rFonts w:eastAsiaTheme="minorEastAsia" w:cs="Times New Roman"/>
    </w:rPr>
  </w:style>
  <w:style w:type="paragraph" w:styleId="Footer">
    <w:name w:val="footer"/>
    <w:basedOn w:val="Normal"/>
    <w:link w:val="FooterChar"/>
    <w:uiPriority w:val="99"/>
    <w:unhideWhenUsed/>
    <w:rsid w:val="009C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5EE"/>
    <w:rPr>
      <w:rFonts w:eastAsiaTheme="minorEastAsia" w:cs="Times New Roman"/>
    </w:rPr>
  </w:style>
  <w:style w:type="paragraph" w:customStyle="1" w:styleId="CallOutBoxHeader">
    <w:name w:val="CallOutBox Header"/>
    <w:basedOn w:val="Normal"/>
    <w:qFormat/>
    <w:rsid w:val="00477CBA"/>
    <w:pPr>
      <w:spacing w:after="0" w:line="240" w:lineRule="auto"/>
    </w:pPr>
    <w:rPr>
      <w:rFonts w:ascii="Source Sans Pro" w:hAnsi="Source Sans Pro" w:cstheme="minorBidi"/>
      <w:color w:val="FFFFFF" w:themeColor="background1"/>
      <w:sz w:val="28"/>
      <w:szCs w:val="24"/>
    </w:rPr>
  </w:style>
  <w:style w:type="paragraph" w:styleId="ListParagraph">
    <w:name w:val="List Paragraph"/>
    <w:basedOn w:val="Normal"/>
    <w:uiPriority w:val="34"/>
    <w:qFormat/>
    <w:rsid w:val="00CE14D3"/>
    <w:pPr>
      <w:ind w:left="720"/>
      <w:contextualSpacing/>
    </w:pPr>
  </w:style>
  <w:style w:type="paragraph" w:styleId="BalloonText">
    <w:name w:val="Balloon Text"/>
    <w:basedOn w:val="Normal"/>
    <w:link w:val="BalloonTextChar"/>
    <w:uiPriority w:val="99"/>
    <w:semiHidden/>
    <w:unhideWhenUsed/>
    <w:rsid w:val="00F71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DF"/>
    <w:rPr>
      <w:rFonts w:ascii="Tahoma" w:eastAsiaTheme="minorEastAsia" w:hAnsi="Tahoma" w:cs="Tahoma"/>
      <w:sz w:val="16"/>
      <w:szCs w:val="16"/>
    </w:rPr>
  </w:style>
  <w:style w:type="table" w:styleId="TableGrid">
    <w:name w:val="Table Grid"/>
    <w:basedOn w:val="TableNormal"/>
    <w:uiPriority w:val="59"/>
    <w:rsid w:val="005C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0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80E"/>
    <w:pPr>
      <w:spacing w:after="0" w:line="240" w:lineRule="auto"/>
    </w:pPr>
    <w:rPr>
      <w:rFonts w:eastAsiaTheme="minorEastAsia" w:cs="Times New Roman"/>
    </w:rPr>
  </w:style>
  <w:style w:type="character" w:styleId="Hyperlink">
    <w:name w:val="Hyperlink"/>
    <w:basedOn w:val="DefaultParagraphFont"/>
    <w:uiPriority w:val="99"/>
    <w:unhideWhenUsed/>
    <w:rsid w:val="00F2080E"/>
    <w:rPr>
      <w:rFonts w:cs="Times New Roman"/>
      <w:color w:val="0000FF" w:themeColor="hyperlink"/>
      <w:u w:val="single"/>
    </w:rPr>
  </w:style>
  <w:style w:type="paragraph" w:styleId="Header">
    <w:name w:val="header"/>
    <w:basedOn w:val="Normal"/>
    <w:link w:val="HeaderChar"/>
    <w:uiPriority w:val="99"/>
    <w:unhideWhenUsed/>
    <w:rsid w:val="009C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5EE"/>
    <w:rPr>
      <w:rFonts w:eastAsiaTheme="minorEastAsia" w:cs="Times New Roman"/>
    </w:rPr>
  </w:style>
  <w:style w:type="paragraph" w:styleId="Footer">
    <w:name w:val="footer"/>
    <w:basedOn w:val="Normal"/>
    <w:link w:val="FooterChar"/>
    <w:uiPriority w:val="99"/>
    <w:unhideWhenUsed/>
    <w:rsid w:val="009C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5EE"/>
    <w:rPr>
      <w:rFonts w:eastAsiaTheme="minorEastAsia" w:cs="Times New Roman"/>
    </w:rPr>
  </w:style>
  <w:style w:type="paragraph" w:customStyle="1" w:styleId="CallOutBoxHeader">
    <w:name w:val="CallOutBox Header"/>
    <w:basedOn w:val="Normal"/>
    <w:qFormat/>
    <w:rsid w:val="00477CBA"/>
    <w:pPr>
      <w:spacing w:after="0" w:line="240" w:lineRule="auto"/>
    </w:pPr>
    <w:rPr>
      <w:rFonts w:ascii="Source Sans Pro" w:hAnsi="Source Sans Pro" w:cstheme="minorBidi"/>
      <w:color w:val="FFFFFF" w:themeColor="background1"/>
      <w:sz w:val="28"/>
      <w:szCs w:val="24"/>
    </w:rPr>
  </w:style>
  <w:style w:type="paragraph" w:styleId="ListParagraph">
    <w:name w:val="List Paragraph"/>
    <w:basedOn w:val="Normal"/>
    <w:uiPriority w:val="34"/>
    <w:qFormat/>
    <w:rsid w:val="00CE14D3"/>
    <w:pPr>
      <w:ind w:left="720"/>
      <w:contextualSpacing/>
    </w:pPr>
  </w:style>
  <w:style w:type="paragraph" w:styleId="BalloonText">
    <w:name w:val="Balloon Text"/>
    <w:basedOn w:val="Normal"/>
    <w:link w:val="BalloonTextChar"/>
    <w:uiPriority w:val="99"/>
    <w:semiHidden/>
    <w:unhideWhenUsed/>
    <w:rsid w:val="00F71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DF"/>
    <w:rPr>
      <w:rFonts w:ascii="Tahoma" w:eastAsiaTheme="minorEastAsia" w:hAnsi="Tahoma" w:cs="Tahoma"/>
      <w:sz w:val="16"/>
      <w:szCs w:val="16"/>
    </w:rPr>
  </w:style>
  <w:style w:type="table" w:styleId="TableGrid">
    <w:name w:val="Table Grid"/>
    <w:basedOn w:val="TableNormal"/>
    <w:uiPriority w:val="59"/>
    <w:rsid w:val="005C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cwalton@tamu.ed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4230</Characters>
  <Application>Microsoft Office Word</Application>
  <DocSecurity>0</DocSecurity>
  <Lines>352</Lines>
  <Paragraphs>125</Paragraphs>
  <ScaleCrop>false</ScaleCrop>
  <HeadingPairs>
    <vt:vector size="2" baseType="variant">
      <vt:variant>
        <vt:lpstr>Title</vt:lpstr>
      </vt:variant>
      <vt:variant>
        <vt:i4>1</vt:i4>
      </vt:variant>
    </vt:vector>
  </HeadingPairs>
  <TitlesOfParts>
    <vt:vector size="1" baseType="lpstr">
      <vt:lpstr/>
    </vt:vector>
  </TitlesOfParts>
  <Company>Texas AgriLife Extension</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Randy Seagraves</cp:lastModifiedBy>
  <cp:revision>2</cp:revision>
  <cp:lastPrinted>2014-07-30T18:53:00Z</cp:lastPrinted>
  <dcterms:created xsi:type="dcterms:W3CDTF">2017-11-28T19:36:00Z</dcterms:created>
  <dcterms:modified xsi:type="dcterms:W3CDTF">2017-11-28T19:36:00Z</dcterms:modified>
</cp:coreProperties>
</file>